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5.png" ContentType="image/png"/>
  <Override PartName="/word/media/image4.jpeg" ContentType="image/jpeg"/>
  <Override PartName="/word/media/image6.png" ContentType="image/png"/>
  <Override PartName="/word/media/image8.jpeg" ContentType="image/jpeg"/>
  <Override PartName="/word/media/image7.png" ContentType="image/pn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png" ContentType="image/png"/>
  <Override PartName="/word/charts/chart1.xml" ContentType="application/vnd.openxmlformats-officedocument.drawingml.chart+xml"/>
  <Override PartName="/word/fontTable.xml" ContentType="application/vnd.openxmlformats-officedocument.wordprocessingml.fontTable+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Narrow" w:hAnsi="Arial Narrow"/>
          <w:b/>
          <w:b/>
          <w:bCs/>
          <w:sz w:val="40"/>
          <w:szCs w:val="40"/>
        </w:rPr>
      </w:pPr>
      <w:r>
        <w:rPr>
          <w:rFonts w:ascii="Arial Narrow" w:hAnsi="Arial Narrow"/>
          <w:b/>
          <w:bCs/>
          <w:sz w:val="40"/>
          <w:szCs w:val="40"/>
        </w:rPr>
      </w:r>
    </w:p>
    <w:p>
      <w:pPr>
        <w:pStyle w:val="Normal"/>
        <w:jc w:val="center"/>
        <w:rPr>
          <w:rFonts w:ascii="Arial Narrow" w:hAnsi="Arial Narrow"/>
          <w:b/>
          <w:b/>
          <w:bCs/>
          <w:sz w:val="40"/>
          <w:szCs w:val="40"/>
        </w:rPr>
      </w:pPr>
      <w:r>
        <w:rPr>
          <w:rFonts w:ascii="Arial Narrow" w:hAnsi="Arial Narrow"/>
          <w:b/>
          <w:bCs/>
          <w:sz w:val="40"/>
          <w:szCs w:val="40"/>
        </w:rPr>
      </w:r>
    </w:p>
    <w:p>
      <w:pPr>
        <w:pStyle w:val="Normal"/>
        <w:jc w:val="center"/>
        <w:rPr>
          <w:rFonts w:ascii="Arial Narrow" w:hAnsi="Arial Narrow"/>
          <w:b/>
          <w:b/>
          <w:bCs/>
          <w:sz w:val="24"/>
          <w:szCs w:val="24"/>
        </w:rPr>
      </w:pPr>
      <w:r>
        <w:rPr>
          <w:rFonts w:ascii="Arial Narrow" w:hAnsi="Arial Narrow"/>
          <w:b/>
          <w:bCs/>
          <w:sz w:val="40"/>
          <w:szCs w:val="40"/>
        </w:rPr>
        <w:t>PROGNOZA</w:t>
      </w:r>
      <w:r>
        <w:rPr>
          <w:rFonts w:ascii="Arial Narrow" w:hAnsi="Arial Narrow"/>
          <w:b/>
          <w:bCs/>
          <w:sz w:val="44"/>
          <w:szCs w:val="44"/>
        </w:rPr>
        <w:t xml:space="preserve"> </w:t>
      </w:r>
      <w:r>
        <w:rPr>
          <w:rFonts w:ascii="Arial Narrow" w:hAnsi="Arial Narrow"/>
          <w:b/>
          <w:bCs/>
          <w:sz w:val="40"/>
          <w:szCs w:val="40"/>
        </w:rPr>
        <w:t>SKUTKÓW FINANSOWYCH</w:t>
      </w:r>
    </w:p>
    <w:p>
      <w:pPr>
        <w:pStyle w:val="Normal"/>
        <w:ind w:right="28" w:hanging="0"/>
        <w:jc w:val="center"/>
        <w:rPr>
          <w:rFonts w:ascii="Arial Narrow" w:hAnsi="Arial Narrow"/>
          <w:b/>
          <w:b/>
          <w:bCs/>
          <w:sz w:val="24"/>
          <w:szCs w:val="24"/>
        </w:rPr>
      </w:pPr>
      <w:r>
        <w:rPr>
          <w:rFonts w:ascii="Arial Narrow" w:hAnsi="Arial Narrow"/>
          <w:b/>
          <w:bCs/>
          <w:sz w:val="24"/>
          <w:szCs w:val="24"/>
        </w:rPr>
        <w:t>uchwalenia miejscowego planu zagospodarowania przestrzennego fragmentu</w:t>
      </w:r>
      <w:r>
        <w:rPr>
          <w:rFonts w:ascii="Arial Narrow" w:hAnsi="Arial Narrow"/>
          <w:sz w:val="24"/>
          <w:szCs w:val="24"/>
        </w:rPr>
        <w:t xml:space="preserve"> </w:t>
      </w:r>
      <w:r>
        <w:rPr>
          <w:rFonts w:ascii="Arial Narrow" w:hAnsi="Arial Narrow"/>
          <w:b/>
          <w:bCs/>
          <w:sz w:val="24"/>
          <w:szCs w:val="24"/>
        </w:rPr>
        <w:t xml:space="preserve">wsi Chylice, gmina Jaktorów, obejmującego obszar ograniczony </w:t>
      </w:r>
    </w:p>
    <w:p>
      <w:pPr>
        <w:pStyle w:val="Normal"/>
        <w:ind w:right="28" w:hanging="0"/>
        <w:jc w:val="center"/>
        <w:rPr>
          <w:rFonts w:ascii="Arial Narrow" w:hAnsi="Arial Narrow"/>
          <w:b/>
          <w:b/>
          <w:sz w:val="24"/>
          <w:szCs w:val="24"/>
        </w:rPr>
      </w:pPr>
      <w:r>
        <w:rPr>
          <w:rFonts w:ascii="Arial Narrow" w:hAnsi="Arial Narrow"/>
          <w:b/>
          <w:bCs/>
          <w:sz w:val="24"/>
          <w:szCs w:val="24"/>
        </w:rPr>
        <w:t xml:space="preserve">fragmentem </w:t>
      </w:r>
      <w:r>
        <w:rPr>
          <w:rFonts w:ascii="Arial Narrow" w:hAnsi="Arial Narrow"/>
          <w:b/>
          <w:sz w:val="24"/>
          <w:szCs w:val="24"/>
        </w:rPr>
        <w:t xml:space="preserve">południowej granicy działki nr ewid. 215 (droga gminna ul. Słoneczna), </w:t>
      </w:r>
    </w:p>
    <w:p>
      <w:pPr>
        <w:pStyle w:val="Normal"/>
        <w:ind w:right="28" w:hanging="0"/>
        <w:jc w:val="center"/>
        <w:rPr>
          <w:rFonts w:ascii="Arial Narrow" w:hAnsi="Arial Narrow"/>
          <w:b/>
          <w:b/>
          <w:sz w:val="24"/>
          <w:szCs w:val="24"/>
        </w:rPr>
      </w:pPr>
      <w:r>
        <w:rPr>
          <w:rFonts w:ascii="Arial Narrow" w:hAnsi="Arial Narrow"/>
          <w:b/>
          <w:sz w:val="24"/>
          <w:szCs w:val="24"/>
        </w:rPr>
        <w:t>fragmentem zachodniej granicy działki nr ewid. 166/2 (droga gminna nr 150307W ulica Alpejska), południowymi granicami działek nr ewid. 221/5, 221/6 oraz fragmentem wschodniej granicy działki 294/15 (rów) oraz wschodnimi granicami działek nr ewid.: 294/4, 294/2, 294/1 (rów)</w:t>
      </w:r>
    </w:p>
    <w:p>
      <w:pPr>
        <w:pStyle w:val="Normal"/>
        <w:ind w:right="28" w:hanging="0"/>
        <w:jc w:val="center"/>
        <w:rPr>
          <w:rFonts w:ascii="Arial Narrow" w:hAnsi="Arial Narrow"/>
          <w:sz w:val="24"/>
          <w:szCs w:val="24"/>
        </w:rPr>
      </w:pPr>
      <w:r>
        <w:rPr>
          <w:rFonts w:ascii="Arial Narrow" w:hAnsi="Arial Narrow"/>
          <w:sz w:val="24"/>
          <w:szCs w:val="24"/>
        </w:rPr>
      </w:r>
    </w:p>
    <w:p>
      <w:pPr>
        <w:pStyle w:val="Normal"/>
        <w:ind w:right="28" w:hanging="0"/>
        <w:jc w:val="center"/>
        <w:rPr>
          <w:rFonts w:ascii="Arial Narrow" w:hAnsi="Arial Narrow"/>
          <w:sz w:val="24"/>
          <w:szCs w:val="24"/>
        </w:rPr>
      </w:pPr>
      <w:r>
        <w:rPr>
          <w:rFonts w:ascii="Arial Narrow" w:hAnsi="Arial Narrow"/>
          <w:sz w:val="24"/>
          <w:szCs w:val="24"/>
        </w:rPr>
      </w:r>
    </w:p>
    <w:p>
      <w:pPr>
        <w:pStyle w:val="Normal"/>
        <w:ind w:right="28" w:hanging="0"/>
        <w:rPr>
          <w:rFonts w:ascii="Arial Narrow" w:hAnsi="Arial Narrow"/>
          <w:b/>
          <w:b/>
          <w:bCs/>
          <w:sz w:val="16"/>
          <w:szCs w:val="16"/>
        </w:rPr>
      </w:pPr>
      <w:r>
        <w:rPr/>
        <w:drawing>
          <wp:inline distT="0" distB="0" distL="0" distR="0">
            <wp:extent cx="2772410" cy="2079625"/>
            <wp:effectExtent l="0" t="0" r="0" b="0"/>
            <wp:docPr id="1" name="Obraz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3" descr=""/>
                    <pic:cNvPicPr>
                      <a:picLocks noChangeAspect="1" noChangeArrowheads="1"/>
                    </pic:cNvPicPr>
                  </pic:nvPicPr>
                  <pic:blipFill>
                    <a:blip r:embed="rId2"/>
                    <a:stretch>
                      <a:fillRect/>
                    </a:stretch>
                  </pic:blipFill>
                  <pic:spPr bwMode="auto">
                    <a:xfrm>
                      <a:off x="0" y="0"/>
                      <a:ext cx="2772410" cy="2079625"/>
                    </a:xfrm>
                    <a:prstGeom prst="rect">
                      <a:avLst/>
                    </a:prstGeom>
                  </pic:spPr>
                </pic:pic>
              </a:graphicData>
            </a:graphic>
          </wp:inline>
        </w:drawing>
      </w:r>
      <w:r>
        <w:rPr>
          <w:rFonts w:ascii="Arial Narrow" w:hAnsi="Arial Narrow"/>
          <w:b/>
          <w:bCs/>
          <w:sz w:val="16"/>
          <w:szCs w:val="16"/>
        </w:rPr>
        <w:t xml:space="preserve">    </w:t>
      </w:r>
      <w:r>
        <w:rPr/>
        <w:drawing>
          <wp:inline distT="0" distB="0" distL="0" distR="0">
            <wp:extent cx="2755900" cy="2066925"/>
            <wp:effectExtent l="0" t="0" r="0" b="0"/>
            <wp:docPr id="2" name="Obraz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2" descr=""/>
                    <pic:cNvPicPr>
                      <a:picLocks noChangeAspect="1" noChangeArrowheads="1"/>
                    </pic:cNvPicPr>
                  </pic:nvPicPr>
                  <pic:blipFill>
                    <a:blip r:embed="rId3"/>
                    <a:stretch>
                      <a:fillRect/>
                    </a:stretch>
                  </pic:blipFill>
                  <pic:spPr bwMode="auto">
                    <a:xfrm>
                      <a:off x="0" y="0"/>
                      <a:ext cx="2755900" cy="2066925"/>
                    </a:xfrm>
                    <a:prstGeom prst="rect">
                      <a:avLst/>
                    </a:prstGeom>
                  </pic:spPr>
                </pic:pic>
              </a:graphicData>
            </a:graphic>
          </wp:inline>
        </w:drawing>
      </w:r>
    </w:p>
    <w:p>
      <w:pPr>
        <w:pStyle w:val="Normal"/>
        <w:ind w:right="28" w:hanging="0"/>
        <w:rPr>
          <w:rFonts w:ascii="Arial Narrow" w:hAnsi="Arial Narrow"/>
          <w:b/>
          <w:b/>
          <w:bCs/>
          <w:sz w:val="12"/>
          <w:szCs w:val="12"/>
        </w:rPr>
      </w:pPr>
      <w:r>
        <w:rPr>
          <w:rFonts w:ascii="Arial Narrow" w:hAnsi="Arial Narrow"/>
          <w:b/>
          <w:bCs/>
          <w:sz w:val="12"/>
          <w:szCs w:val="12"/>
        </w:rPr>
      </w:r>
    </w:p>
    <w:p>
      <w:pPr>
        <w:pStyle w:val="Normal"/>
        <w:ind w:right="28" w:hanging="0"/>
        <w:rPr>
          <w:rFonts w:ascii="Arial Narrow" w:hAnsi="Arial Narrow"/>
          <w:b/>
          <w:b/>
          <w:bCs/>
          <w:sz w:val="16"/>
          <w:szCs w:val="16"/>
        </w:rPr>
      </w:pPr>
      <w:r>
        <w:rPr/>
        <w:drawing>
          <wp:inline distT="0" distB="0" distL="0" distR="0">
            <wp:extent cx="2772410" cy="2079625"/>
            <wp:effectExtent l="0" t="0" r="0" b="0"/>
            <wp:docPr id="3"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
                    <pic:cNvPicPr>
                      <a:picLocks noChangeAspect="1" noChangeArrowheads="1"/>
                    </pic:cNvPicPr>
                  </pic:nvPicPr>
                  <pic:blipFill>
                    <a:blip r:embed="rId4"/>
                    <a:stretch>
                      <a:fillRect/>
                    </a:stretch>
                  </pic:blipFill>
                  <pic:spPr bwMode="auto">
                    <a:xfrm>
                      <a:off x="0" y="0"/>
                      <a:ext cx="2772410" cy="2079625"/>
                    </a:xfrm>
                    <a:prstGeom prst="rect">
                      <a:avLst/>
                    </a:prstGeom>
                  </pic:spPr>
                </pic:pic>
              </a:graphicData>
            </a:graphic>
          </wp:inline>
        </w:drawing>
      </w:r>
      <w:r>
        <w:rPr>
          <w:rFonts w:ascii="Arial Narrow" w:hAnsi="Arial Narrow"/>
          <w:b/>
          <w:bCs/>
          <w:sz w:val="16"/>
          <w:szCs w:val="16"/>
        </w:rPr>
        <w:t xml:space="preserve">    </w:t>
      </w:r>
      <w:r>
        <w:rPr/>
        <w:drawing>
          <wp:inline distT="0" distB="0" distL="0" distR="0">
            <wp:extent cx="2774950" cy="2080895"/>
            <wp:effectExtent l="0" t="0" r="0" b="0"/>
            <wp:docPr id="4" name="Obraz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5" descr=""/>
                    <pic:cNvPicPr>
                      <a:picLocks noChangeAspect="1" noChangeArrowheads="1"/>
                    </pic:cNvPicPr>
                  </pic:nvPicPr>
                  <pic:blipFill>
                    <a:blip r:embed="rId5"/>
                    <a:stretch>
                      <a:fillRect/>
                    </a:stretch>
                  </pic:blipFill>
                  <pic:spPr bwMode="auto">
                    <a:xfrm>
                      <a:off x="0" y="0"/>
                      <a:ext cx="2774950" cy="2080895"/>
                    </a:xfrm>
                    <a:prstGeom prst="rect">
                      <a:avLst/>
                    </a:prstGeom>
                  </pic:spPr>
                </pic:pic>
              </a:graphicData>
            </a:graphic>
          </wp:inline>
        </w:drawing>
      </w:r>
    </w:p>
    <w:p>
      <w:pPr>
        <w:pStyle w:val="Normal"/>
        <w:ind w:right="28" w:hanging="0"/>
        <w:rPr>
          <w:rFonts w:ascii="Arial Narrow" w:hAnsi="Arial Narrow"/>
          <w:b/>
          <w:b/>
          <w:bCs/>
          <w:sz w:val="16"/>
          <w:szCs w:val="16"/>
        </w:rPr>
      </w:pPr>
      <w:r>
        <w:rPr>
          <w:rFonts w:ascii="Arial Narrow" w:hAnsi="Arial Narrow"/>
          <w:b/>
          <w:bCs/>
          <w:sz w:val="16"/>
          <w:szCs w:val="16"/>
        </w:rPr>
      </w:r>
      <w:bookmarkStart w:id="0" w:name="_Hlk520277132"/>
      <w:bookmarkStart w:id="1" w:name="_Hlk520275553"/>
      <w:bookmarkStart w:id="2" w:name="_Hlk520277132"/>
      <w:bookmarkStart w:id="3" w:name="_Hlk520275553"/>
      <w:bookmarkEnd w:id="2"/>
      <w:bookmarkEnd w:id="3"/>
    </w:p>
    <w:p>
      <w:pPr>
        <w:pStyle w:val="Normal"/>
        <w:rPr>
          <w:rFonts w:ascii="Arial Narrow" w:hAnsi="Arial Narrow"/>
          <w:b/>
          <w:b/>
          <w:sz w:val="16"/>
          <w:szCs w:val="16"/>
        </w:rPr>
      </w:pPr>
      <w:r>
        <w:rPr>
          <w:rFonts w:ascii="Arial Narrow" w:hAnsi="Arial Narrow"/>
          <w:b/>
          <w:sz w:val="16"/>
          <w:szCs w:val="16"/>
        </w:rPr>
      </w:r>
    </w:p>
    <w:p>
      <w:pPr>
        <w:pStyle w:val="Normal"/>
        <w:jc w:val="center"/>
        <w:rPr>
          <w:rFonts w:ascii="Arial Narrow" w:hAnsi="Arial Narrow"/>
        </w:rPr>
      </w:pPr>
      <w:r>
        <w:rPr>
          <w:rFonts w:ascii="Arial Narrow" w:hAnsi="Arial Narrow"/>
        </w:rPr>
        <w:t>OPRACOWANIE: Barbara Mazur, rzeczoznawca majątkowy</w:t>
      </w:r>
    </w:p>
    <w:p>
      <w:pPr>
        <w:pStyle w:val="Normal"/>
        <w:jc w:val="center"/>
        <w:rPr>
          <w:rFonts w:ascii="Arial Narrow" w:hAnsi="Arial Narrow"/>
        </w:rPr>
      </w:pPr>
      <w:r>
        <w:rPr>
          <w:rFonts w:ascii="Arial Narrow" w:hAnsi="Arial Narrow"/>
        </w:rPr>
        <w:t>Uprawnienia nr 2414 wydane przez Prezesa UMiRM</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agwek2"/>
        <w:spacing w:lineRule="auto" w:line="240"/>
        <w:rPr/>
      </w:pPr>
      <w:r>
        <w:rPr/>
        <w:t>Grodzisk Mazowiecki, grudzień 2022r.</w:t>
      </w:r>
    </w:p>
    <w:p>
      <w:pPr>
        <w:pStyle w:val="Normal"/>
        <w:rPr>
          <w:rFonts w:ascii="Arial Narrow" w:hAnsi="Arial Narrow"/>
          <w:sz w:val="16"/>
        </w:rPr>
      </w:pPr>
      <w:r>
        <w:rPr>
          <w:rFonts w:ascii="Arial Narrow" w:hAnsi="Arial Narrow"/>
          <w:sz w:val="16"/>
        </w:rPr>
      </w:r>
    </w:p>
    <w:p>
      <w:pPr>
        <w:pStyle w:val="Normal"/>
        <w:jc w:val="center"/>
        <w:rPr>
          <w:rFonts w:ascii="Arial Narrow" w:hAnsi="Arial Narrow"/>
          <w:sz w:val="16"/>
        </w:rPr>
      </w:pPr>
      <w:r>
        <w:rPr>
          <w:rFonts w:ascii="Arial Narrow" w:hAnsi="Arial Narrow"/>
          <w:sz w:val="16"/>
        </w:rPr>
      </w:r>
    </w:p>
    <w:p>
      <w:pPr>
        <w:pStyle w:val="Normal"/>
        <w:jc w:val="center"/>
        <w:rPr>
          <w:rFonts w:ascii="Arial Narrow" w:hAnsi="Arial Narrow"/>
          <w:sz w:val="16"/>
        </w:rPr>
      </w:pPr>
      <w:r>
        <w:rPr>
          <w:rFonts w:ascii="Arial Narrow" w:hAnsi="Arial Narrow"/>
          <w:sz w:val="16"/>
        </w:rPr>
      </w:r>
    </w:p>
    <w:p>
      <w:pPr>
        <w:pStyle w:val="Normal"/>
        <w:jc w:val="center"/>
        <w:rPr>
          <w:rFonts w:ascii="Arial Narrow" w:hAnsi="Arial Narrow"/>
          <w:sz w:val="16"/>
        </w:rPr>
      </w:pPr>
      <w:r>
        <w:rPr>
          <w:rFonts w:ascii="Arial Narrow" w:hAnsi="Arial Narrow"/>
          <w:sz w:val="16"/>
        </w:rPr>
      </w:r>
    </w:p>
    <w:p>
      <w:pPr>
        <w:pStyle w:val="Normal"/>
        <w:jc w:val="center"/>
        <w:rPr>
          <w:rFonts w:ascii="Arial Narrow" w:hAnsi="Arial Narrow"/>
          <w:sz w:val="16"/>
        </w:rPr>
      </w:pPr>
      <w:r>
        <w:rPr>
          <w:rFonts w:ascii="Arial Narrow" w:hAnsi="Arial Narrow"/>
          <w:sz w:val="16"/>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agwek3"/>
        <w:spacing w:lineRule="auto" w:line="240"/>
        <w:rPr/>
      </w:pPr>
      <w:r>
        <w:rPr/>
        <w:t>SPIS TREŚCI</w:t>
      </w:r>
    </w:p>
    <w:p>
      <w:pPr>
        <w:pStyle w:val="Normal"/>
        <w:jc w:val="center"/>
        <w:rPr>
          <w:rFonts w:ascii="Arial Narrow" w:hAnsi="Arial Narrow"/>
          <w:b/>
          <w:b/>
          <w:sz w:val="28"/>
        </w:rPr>
      </w:pPr>
      <w:r>
        <w:rPr>
          <w:rFonts w:ascii="Arial Narrow" w:hAnsi="Arial Narrow"/>
          <w:b/>
          <w:sz w:val="28"/>
        </w:rPr>
      </w:r>
    </w:p>
    <w:p>
      <w:pPr>
        <w:pStyle w:val="Normal"/>
        <w:jc w:val="center"/>
        <w:rPr>
          <w:rFonts w:ascii="Arial Narrow" w:hAnsi="Arial Narrow"/>
          <w:b/>
          <w:b/>
          <w:sz w:val="28"/>
        </w:rPr>
      </w:pPr>
      <w:r>
        <w:rPr>
          <w:rFonts w:ascii="Arial Narrow" w:hAnsi="Arial Narrow"/>
          <w:b/>
          <w:sz w:val="28"/>
        </w:rPr>
      </w:r>
    </w:p>
    <w:p>
      <w:pPr>
        <w:pStyle w:val="Normal"/>
        <w:jc w:val="center"/>
        <w:rPr>
          <w:rFonts w:ascii="Arial Narrow" w:hAnsi="Arial Narrow"/>
          <w:b/>
          <w:b/>
          <w:sz w:val="28"/>
        </w:rPr>
      </w:pPr>
      <w:r>
        <w:rPr>
          <w:rFonts w:ascii="Arial Narrow" w:hAnsi="Arial Narrow"/>
          <w:b/>
          <w:sz w:val="28"/>
        </w:rPr>
      </w:r>
    </w:p>
    <w:p>
      <w:pPr>
        <w:pStyle w:val="Normal"/>
        <w:numPr>
          <w:ilvl w:val="0"/>
          <w:numId w:val="16"/>
        </w:numPr>
        <w:jc w:val="both"/>
        <w:rPr>
          <w:rFonts w:ascii="Arial Narrow" w:hAnsi="Arial Narrow"/>
          <w:b/>
          <w:b/>
          <w:sz w:val="22"/>
        </w:rPr>
      </w:pPr>
      <w:r>
        <w:rPr>
          <w:rFonts w:ascii="Arial Narrow" w:hAnsi="Arial Narrow"/>
          <w:b/>
          <w:sz w:val="22"/>
        </w:rPr>
        <w:t>CZĘŚĆ OGÓLNA</w:t>
      </w:r>
    </w:p>
    <w:p>
      <w:pPr>
        <w:pStyle w:val="Normal"/>
        <w:numPr>
          <w:ilvl w:val="1"/>
          <w:numId w:val="2"/>
        </w:numPr>
        <w:jc w:val="both"/>
        <w:rPr>
          <w:rFonts w:ascii="Arial Narrow" w:hAnsi="Arial Narrow"/>
          <w:bCs/>
          <w:sz w:val="22"/>
        </w:rPr>
      </w:pPr>
      <w:r>
        <w:rPr>
          <w:rFonts w:ascii="Arial Narrow" w:hAnsi="Arial Narrow"/>
          <w:bCs/>
          <w:sz w:val="22"/>
        </w:rPr>
        <w:t>Podstawy formalne</w:t>
      </w:r>
    </w:p>
    <w:p>
      <w:pPr>
        <w:pStyle w:val="ListParagraph"/>
        <w:numPr>
          <w:ilvl w:val="2"/>
          <w:numId w:val="2"/>
        </w:numPr>
        <w:jc w:val="both"/>
        <w:rPr>
          <w:rFonts w:ascii="Arial Narrow" w:hAnsi="Arial Narrow"/>
          <w:bCs/>
          <w:sz w:val="22"/>
        </w:rPr>
      </w:pPr>
      <w:r>
        <w:rPr>
          <w:rFonts w:ascii="Arial Narrow" w:hAnsi="Arial Narrow"/>
          <w:bCs/>
          <w:sz w:val="22"/>
        </w:rPr>
        <w:t>Zleceniodawca</w:t>
      </w:r>
    </w:p>
    <w:p>
      <w:pPr>
        <w:pStyle w:val="ListParagraph"/>
        <w:numPr>
          <w:ilvl w:val="2"/>
          <w:numId w:val="2"/>
        </w:numPr>
        <w:jc w:val="both"/>
        <w:rPr>
          <w:rFonts w:ascii="Arial Narrow" w:hAnsi="Arial Narrow"/>
          <w:bCs/>
          <w:sz w:val="22"/>
        </w:rPr>
      </w:pPr>
      <w:r>
        <w:rPr>
          <w:rFonts w:ascii="Arial Narrow" w:hAnsi="Arial Narrow"/>
          <w:bCs/>
          <w:sz w:val="22"/>
        </w:rPr>
        <w:t>Przedmiot i zakres prognozy</w:t>
      </w:r>
    </w:p>
    <w:p>
      <w:pPr>
        <w:pStyle w:val="ListParagraph"/>
        <w:numPr>
          <w:ilvl w:val="2"/>
          <w:numId w:val="2"/>
        </w:numPr>
        <w:jc w:val="both"/>
        <w:rPr>
          <w:rFonts w:ascii="Arial Narrow" w:hAnsi="Arial Narrow"/>
          <w:bCs/>
          <w:sz w:val="22"/>
        </w:rPr>
      </w:pPr>
      <w:r>
        <w:rPr>
          <w:rFonts w:ascii="Arial Narrow" w:hAnsi="Arial Narrow"/>
          <w:bCs/>
          <w:sz w:val="22"/>
        </w:rPr>
        <w:t>Cel opracowania</w:t>
      </w:r>
    </w:p>
    <w:p>
      <w:pPr>
        <w:pStyle w:val="ListParagraph"/>
        <w:numPr>
          <w:ilvl w:val="2"/>
          <w:numId w:val="2"/>
        </w:numPr>
        <w:jc w:val="both"/>
        <w:rPr>
          <w:rFonts w:ascii="Arial Narrow" w:hAnsi="Arial Narrow"/>
          <w:bCs/>
          <w:sz w:val="22"/>
        </w:rPr>
      </w:pPr>
      <w:r>
        <w:rPr>
          <w:rFonts w:ascii="Arial Narrow" w:hAnsi="Arial Narrow"/>
          <w:bCs/>
          <w:sz w:val="22"/>
        </w:rPr>
        <w:t>Data prognozy</w:t>
      </w:r>
    </w:p>
    <w:p>
      <w:pPr>
        <w:pStyle w:val="Normal"/>
        <w:numPr>
          <w:ilvl w:val="1"/>
          <w:numId w:val="2"/>
        </w:numPr>
        <w:jc w:val="both"/>
        <w:rPr>
          <w:rFonts w:ascii="Arial Narrow" w:hAnsi="Arial Narrow"/>
          <w:bCs/>
          <w:sz w:val="22"/>
        </w:rPr>
      </w:pPr>
      <w:r>
        <w:rPr>
          <w:rFonts w:ascii="Arial Narrow" w:hAnsi="Arial Narrow"/>
          <w:bCs/>
          <w:sz w:val="22"/>
        </w:rPr>
        <w:t>Podstawy prawne</w:t>
      </w:r>
    </w:p>
    <w:p>
      <w:pPr>
        <w:pStyle w:val="Normal"/>
        <w:numPr>
          <w:ilvl w:val="1"/>
          <w:numId w:val="2"/>
        </w:numPr>
        <w:jc w:val="both"/>
        <w:rPr>
          <w:rFonts w:ascii="Arial Narrow" w:hAnsi="Arial Narrow"/>
          <w:bCs/>
          <w:sz w:val="22"/>
        </w:rPr>
      </w:pPr>
      <w:r>
        <w:rPr>
          <w:rFonts w:ascii="Arial Narrow" w:hAnsi="Arial Narrow"/>
          <w:bCs/>
          <w:sz w:val="22"/>
        </w:rPr>
        <w:t>Źródła danych</w:t>
      </w:r>
    </w:p>
    <w:p>
      <w:pPr>
        <w:pStyle w:val="ListParagraph"/>
        <w:numPr>
          <w:ilvl w:val="0"/>
          <w:numId w:val="17"/>
        </w:numPr>
        <w:jc w:val="both"/>
        <w:rPr>
          <w:rFonts w:ascii="Arial Narrow" w:hAnsi="Arial Narrow"/>
          <w:b/>
          <w:b/>
          <w:bCs/>
          <w:sz w:val="22"/>
        </w:rPr>
      </w:pPr>
      <w:r>
        <w:rPr>
          <w:rFonts w:ascii="Arial Narrow" w:hAnsi="Arial Narrow"/>
          <w:b/>
          <w:bCs/>
          <w:sz w:val="22"/>
        </w:rPr>
        <w:t>OPIS PROCEDURY SPORZĄDZANIA PROGNOZY</w:t>
      </w:r>
    </w:p>
    <w:p>
      <w:pPr>
        <w:pStyle w:val="ListParagraph"/>
        <w:numPr>
          <w:ilvl w:val="1"/>
          <w:numId w:val="3"/>
        </w:numPr>
        <w:rPr>
          <w:rFonts w:ascii="Arial Narrow" w:hAnsi="Arial Narrow"/>
          <w:bCs/>
          <w:sz w:val="22"/>
        </w:rPr>
      </w:pPr>
      <w:r>
        <w:rPr>
          <w:rFonts w:ascii="Arial Narrow" w:hAnsi="Arial Narrow"/>
          <w:bCs/>
          <w:sz w:val="22"/>
        </w:rPr>
        <w:t>Uwarunkowania prawne i wybór sposobu prognozowania</w:t>
      </w:r>
    </w:p>
    <w:p>
      <w:pPr>
        <w:pStyle w:val="ListParagraph"/>
        <w:numPr>
          <w:ilvl w:val="0"/>
          <w:numId w:val="3"/>
        </w:numPr>
        <w:jc w:val="both"/>
        <w:rPr>
          <w:rFonts w:ascii="Arial Narrow" w:hAnsi="Arial Narrow"/>
          <w:b/>
          <w:b/>
          <w:sz w:val="22"/>
        </w:rPr>
      </w:pPr>
      <w:bookmarkStart w:id="4" w:name="_Hlk520269179"/>
      <w:bookmarkEnd w:id="4"/>
      <w:r>
        <w:rPr>
          <w:rFonts w:ascii="Arial Narrow" w:hAnsi="Arial Narrow"/>
          <w:b/>
          <w:sz w:val="22"/>
        </w:rPr>
        <w:t>OPIS RYNKU NIERUCHOMOŚCI</w:t>
      </w:r>
    </w:p>
    <w:p>
      <w:pPr>
        <w:pStyle w:val="ListParagraph"/>
        <w:numPr>
          <w:ilvl w:val="1"/>
          <w:numId w:val="3"/>
        </w:numPr>
        <w:jc w:val="both"/>
        <w:rPr>
          <w:rFonts w:ascii="Arial Narrow" w:hAnsi="Arial Narrow"/>
          <w:sz w:val="22"/>
        </w:rPr>
      </w:pPr>
      <w:bookmarkStart w:id="5" w:name="_Hlk520269179"/>
      <w:bookmarkStart w:id="6" w:name="_Hlk520269217"/>
      <w:bookmarkEnd w:id="5"/>
      <w:bookmarkEnd w:id="6"/>
      <w:r>
        <w:rPr>
          <w:rFonts w:ascii="Arial Narrow" w:hAnsi="Arial Narrow"/>
          <w:sz w:val="22"/>
        </w:rPr>
        <w:t>Obszar lokalnego rynku nieruchomości</w:t>
      </w:r>
    </w:p>
    <w:p>
      <w:pPr>
        <w:pStyle w:val="ListParagraph"/>
        <w:numPr>
          <w:ilvl w:val="1"/>
          <w:numId w:val="3"/>
        </w:numPr>
        <w:jc w:val="both"/>
        <w:rPr>
          <w:rFonts w:ascii="Arial Narrow" w:hAnsi="Arial Narrow"/>
          <w:sz w:val="22"/>
        </w:rPr>
      </w:pPr>
      <w:bookmarkStart w:id="7" w:name="_Hlk520269217"/>
      <w:bookmarkEnd w:id="7"/>
      <w:r>
        <w:rPr>
          <w:rFonts w:ascii="Arial Narrow" w:hAnsi="Arial Narrow"/>
          <w:sz w:val="22"/>
        </w:rPr>
        <w:t>Horyzont prognozy</w:t>
      </w:r>
      <w:bookmarkStart w:id="8" w:name="_Hlk520269256"/>
      <w:bookmarkEnd w:id="8"/>
    </w:p>
    <w:p>
      <w:pPr>
        <w:pStyle w:val="Normal"/>
        <w:numPr>
          <w:ilvl w:val="0"/>
          <w:numId w:val="3"/>
        </w:numPr>
        <w:jc w:val="both"/>
        <w:rPr>
          <w:rFonts w:ascii="Arial Narrow" w:hAnsi="Arial Narrow"/>
          <w:b/>
          <w:b/>
          <w:sz w:val="22"/>
        </w:rPr>
      </w:pPr>
      <w:r>
        <w:rPr>
          <w:rFonts w:ascii="Arial Narrow" w:hAnsi="Arial Narrow"/>
          <w:b/>
          <w:sz w:val="22"/>
        </w:rPr>
        <w:t>CHARAKTERYSTYKA OBSZARU OBJĘTEGO PLANEM</w:t>
      </w:r>
    </w:p>
    <w:p>
      <w:pPr>
        <w:pStyle w:val="Normal"/>
        <w:numPr>
          <w:ilvl w:val="1"/>
          <w:numId w:val="3"/>
        </w:numPr>
        <w:jc w:val="both"/>
        <w:rPr>
          <w:rFonts w:ascii="Arial Narrow" w:hAnsi="Arial Narrow"/>
          <w:bCs/>
          <w:sz w:val="22"/>
        </w:rPr>
      </w:pPr>
      <w:r>
        <w:rPr>
          <w:rFonts w:ascii="Arial Narrow" w:hAnsi="Arial Narrow"/>
          <w:bCs/>
          <w:sz w:val="22"/>
        </w:rPr>
        <w:t>Struktura własności</w:t>
      </w:r>
      <w:bookmarkStart w:id="9" w:name="_Hlk520269358"/>
      <w:bookmarkEnd w:id="9"/>
    </w:p>
    <w:p>
      <w:pPr>
        <w:pStyle w:val="Normal"/>
        <w:numPr>
          <w:ilvl w:val="1"/>
          <w:numId w:val="3"/>
        </w:numPr>
        <w:jc w:val="both"/>
        <w:rPr>
          <w:rFonts w:ascii="Arial Narrow" w:hAnsi="Arial Narrow"/>
          <w:bCs/>
          <w:sz w:val="22"/>
        </w:rPr>
      </w:pPr>
      <w:r>
        <w:rPr>
          <w:rFonts w:ascii="Arial Narrow" w:hAnsi="Arial Narrow"/>
          <w:bCs/>
          <w:sz w:val="22"/>
        </w:rPr>
        <w:t>Zamierzenia planistyczne</w:t>
      </w:r>
    </w:p>
    <w:p>
      <w:pPr>
        <w:pStyle w:val="Normal"/>
        <w:numPr>
          <w:ilvl w:val="0"/>
          <w:numId w:val="3"/>
        </w:numPr>
        <w:jc w:val="both"/>
        <w:rPr>
          <w:rFonts w:ascii="Arial Narrow" w:hAnsi="Arial Narrow"/>
          <w:b/>
          <w:b/>
          <w:sz w:val="22"/>
        </w:rPr>
      </w:pPr>
      <w:r>
        <w:rPr>
          <w:rFonts w:ascii="Arial Narrow" w:hAnsi="Arial Narrow"/>
          <w:b/>
          <w:sz w:val="22"/>
        </w:rPr>
        <w:t>SKUTKI FINANSOWE UCHWALENIA PLANU</w:t>
      </w:r>
    </w:p>
    <w:p>
      <w:pPr>
        <w:pStyle w:val="Normal"/>
        <w:numPr>
          <w:ilvl w:val="1"/>
          <w:numId w:val="3"/>
        </w:numPr>
        <w:jc w:val="both"/>
        <w:rPr>
          <w:rFonts w:ascii="Arial Narrow" w:hAnsi="Arial Narrow"/>
          <w:bCs/>
          <w:sz w:val="22"/>
        </w:rPr>
      </w:pPr>
      <w:r>
        <w:rPr>
          <w:rFonts w:ascii="Arial Narrow" w:hAnsi="Arial Narrow"/>
          <w:bCs/>
          <w:sz w:val="22"/>
        </w:rPr>
        <w:t>Koszty</w:t>
      </w:r>
    </w:p>
    <w:p>
      <w:pPr>
        <w:pStyle w:val="ListParagraph"/>
        <w:numPr>
          <w:ilvl w:val="2"/>
          <w:numId w:val="3"/>
        </w:numPr>
        <w:jc w:val="both"/>
        <w:rPr>
          <w:rFonts w:ascii="Arial Narrow" w:hAnsi="Arial Narrow"/>
          <w:bCs/>
          <w:sz w:val="22"/>
        </w:rPr>
      </w:pPr>
      <w:r>
        <w:rPr>
          <w:rFonts w:ascii="Arial Narrow" w:hAnsi="Arial Narrow"/>
          <w:bCs/>
          <w:sz w:val="22"/>
        </w:rPr>
        <w:t>Szacunkowe koszty wykupu gruntów na cel publiczny</w:t>
      </w:r>
      <w:bookmarkStart w:id="10" w:name="_Hlk520269512"/>
      <w:bookmarkEnd w:id="10"/>
    </w:p>
    <w:p>
      <w:pPr>
        <w:pStyle w:val="ListParagraph"/>
        <w:numPr>
          <w:ilvl w:val="2"/>
          <w:numId w:val="3"/>
        </w:numPr>
        <w:jc w:val="both"/>
        <w:rPr>
          <w:rFonts w:ascii="Arial Narrow" w:hAnsi="Arial Narrow"/>
          <w:bCs/>
          <w:sz w:val="22"/>
        </w:rPr>
      </w:pPr>
      <w:r>
        <w:rPr>
          <w:rFonts w:ascii="Arial Narrow" w:hAnsi="Arial Narrow"/>
          <w:bCs/>
          <w:sz w:val="22"/>
        </w:rPr>
        <w:t>Szacunkowe koszty realizacji dróg i infrastruktury technicznej</w:t>
      </w:r>
    </w:p>
    <w:p>
      <w:pPr>
        <w:pStyle w:val="ListParagraph"/>
        <w:numPr>
          <w:ilvl w:val="2"/>
          <w:numId w:val="3"/>
        </w:numPr>
        <w:jc w:val="both"/>
        <w:rPr>
          <w:rFonts w:ascii="Arial Narrow" w:hAnsi="Arial Narrow"/>
          <w:bCs/>
          <w:sz w:val="22"/>
        </w:rPr>
      </w:pPr>
      <w:r>
        <w:rPr>
          <w:rFonts w:ascii="Arial Narrow" w:hAnsi="Arial Narrow"/>
          <w:bCs/>
          <w:sz w:val="22"/>
        </w:rPr>
        <w:t>Odszkodowania wynikające z art.36 Ustawy o planowaniu i zagospodarowaniu przestrzennym</w:t>
      </w:r>
    </w:p>
    <w:p>
      <w:pPr>
        <w:pStyle w:val="Normal"/>
        <w:numPr>
          <w:ilvl w:val="1"/>
          <w:numId w:val="3"/>
        </w:numPr>
        <w:jc w:val="both"/>
        <w:rPr>
          <w:rFonts w:ascii="Arial Narrow" w:hAnsi="Arial Narrow"/>
          <w:bCs/>
          <w:sz w:val="22"/>
        </w:rPr>
      </w:pPr>
      <w:r>
        <w:rPr>
          <w:rFonts w:ascii="Arial Narrow" w:hAnsi="Arial Narrow"/>
          <w:bCs/>
          <w:sz w:val="22"/>
        </w:rPr>
        <w:t>Wpływy</w:t>
      </w:r>
    </w:p>
    <w:p>
      <w:pPr>
        <w:pStyle w:val="ListParagraph"/>
        <w:numPr>
          <w:ilvl w:val="2"/>
          <w:numId w:val="3"/>
        </w:numPr>
        <w:jc w:val="both"/>
        <w:rPr>
          <w:rFonts w:ascii="Arial Narrow" w:hAnsi="Arial Narrow"/>
          <w:sz w:val="22"/>
        </w:rPr>
      </w:pPr>
      <w:r>
        <w:rPr>
          <w:rFonts w:ascii="Arial Narrow" w:hAnsi="Arial Narrow"/>
          <w:sz w:val="22"/>
        </w:rPr>
        <w:t>Opłata z tytułu wzrostu wartości nieruchomości</w:t>
      </w:r>
    </w:p>
    <w:p>
      <w:pPr>
        <w:pStyle w:val="ListParagraph"/>
        <w:numPr>
          <w:ilvl w:val="2"/>
          <w:numId w:val="3"/>
        </w:numPr>
        <w:jc w:val="both"/>
        <w:rPr>
          <w:rFonts w:ascii="Arial Narrow" w:hAnsi="Arial Narrow"/>
          <w:sz w:val="22"/>
        </w:rPr>
      </w:pPr>
      <w:r>
        <w:rPr>
          <w:rFonts w:ascii="Arial Narrow" w:hAnsi="Arial Narrow"/>
          <w:sz w:val="22"/>
        </w:rPr>
        <w:t>Opłaty adiacenckie</w:t>
      </w:r>
      <w:bookmarkStart w:id="11" w:name="_Hlk520269674"/>
      <w:bookmarkEnd w:id="11"/>
    </w:p>
    <w:p>
      <w:pPr>
        <w:pStyle w:val="ListParagraph"/>
        <w:numPr>
          <w:ilvl w:val="2"/>
          <w:numId w:val="3"/>
        </w:numPr>
        <w:jc w:val="both"/>
        <w:rPr>
          <w:rFonts w:ascii="Arial Narrow" w:hAnsi="Arial Narrow"/>
          <w:sz w:val="22"/>
        </w:rPr>
      </w:pPr>
      <w:r>
        <w:rPr>
          <w:rFonts w:ascii="Arial Narrow" w:hAnsi="Arial Narrow"/>
          <w:sz w:val="22"/>
        </w:rPr>
        <w:t>Podatki od nieruchomości</w:t>
      </w:r>
    </w:p>
    <w:p>
      <w:pPr>
        <w:pStyle w:val="ListParagraph"/>
        <w:numPr>
          <w:ilvl w:val="2"/>
          <w:numId w:val="3"/>
        </w:numPr>
        <w:rPr>
          <w:rFonts w:ascii="Arial Narrow" w:hAnsi="Arial Narrow"/>
          <w:bCs/>
          <w:sz w:val="22"/>
        </w:rPr>
      </w:pPr>
      <w:r>
        <w:rPr>
          <w:rFonts w:ascii="Arial Narrow" w:hAnsi="Arial Narrow"/>
          <w:bCs/>
          <w:sz w:val="22"/>
        </w:rPr>
        <w:t>Podatki od czynności cywilnoprawnych</w:t>
      </w:r>
    </w:p>
    <w:p>
      <w:pPr>
        <w:pStyle w:val="Normal"/>
        <w:numPr>
          <w:ilvl w:val="0"/>
          <w:numId w:val="3"/>
        </w:numPr>
        <w:jc w:val="both"/>
        <w:rPr>
          <w:rFonts w:ascii="Arial Narrow" w:hAnsi="Arial Narrow"/>
          <w:b/>
          <w:b/>
          <w:sz w:val="22"/>
        </w:rPr>
      </w:pPr>
      <w:r>
        <w:rPr>
          <w:rFonts w:ascii="Arial Narrow" w:hAnsi="Arial Narrow"/>
          <w:b/>
          <w:sz w:val="22"/>
        </w:rPr>
        <w:t>PODSUMOWANIE</w:t>
      </w:r>
    </w:p>
    <w:p>
      <w:pPr>
        <w:pStyle w:val="ListParagraph"/>
        <w:numPr>
          <w:ilvl w:val="1"/>
          <w:numId w:val="3"/>
        </w:numPr>
        <w:jc w:val="both"/>
        <w:rPr>
          <w:rFonts w:ascii="Arial Narrow" w:hAnsi="Arial Narrow"/>
          <w:sz w:val="22"/>
        </w:rPr>
      </w:pPr>
      <w:r>
        <w:rPr>
          <w:rFonts w:ascii="Arial Narrow" w:hAnsi="Arial Narrow"/>
          <w:sz w:val="22"/>
        </w:rPr>
        <w:t>Bilans kosztów i wpływów</w:t>
      </w:r>
    </w:p>
    <w:p>
      <w:pPr>
        <w:pStyle w:val="ListParagraph"/>
        <w:numPr>
          <w:ilvl w:val="0"/>
          <w:numId w:val="3"/>
        </w:numPr>
        <w:jc w:val="both"/>
        <w:rPr>
          <w:rFonts w:ascii="Arial Narrow" w:hAnsi="Arial Narrow"/>
          <w:b/>
          <w:b/>
          <w:bCs/>
          <w:sz w:val="22"/>
        </w:rPr>
      </w:pPr>
      <w:r>
        <w:rPr>
          <w:rFonts w:ascii="Arial Narrow" w:hAnsi="Arial Narrow"/>
          <w:b/>
          <w:bCs/>
          <w:sz w:val="22"/>
        </w:rPr>
        <w:t>WNIOSKI</w:t>
      </w:r>
    </w:p>
    <w:p>
      <w:pPr>
        <w:pStyle w:val="ListParagraph"/>
        <w:numPr>
          <w:ilvl w:val="0"/>
          <w:numId w:val="3"/>
        </w:numPr>
        <w:jc w:val="both"/>
        <w:rPr>
          <w:rFonts w:ascii="Arial Narrow" w:hAnsi="Arial Narrow"/>
          <w:b/>
          <w:b/>
          <w:bCs/>
          <w:sz w:val="22"/>
        </w:rPr>
      </w:pPr>
      <w:r>
        <w:rPr>
          <w:rFonts w:ascii="Arial Narrow" w:hAnsi="Arial Narrow"/>
          <w:b/>
          <w:bCs/>
          <w:sz w:val="22"/>
        </w:rPr>
        <w:t>WYKAZ ZAŁĄCZNIKÓW</w:t>
      </w:r>
      <w:bookmarkStart w:id="12" w:name="_Hlk520271077"/>
      <w:bookmarkEnd w:id="12"/>
    </w:p>
    <w:p>
      <w:pPr>
        <w:pStyle w:val="Normal"/>
        <w:jc w:val="both"/>
        <w:rPr>
          <w:rFonts w:ascii="Arial Narrow" w:hAnsi="Arial Narrow"/>
          <w:b/>
          <w:b/>
          <w:sz w:val="24"/>
        </w:rPr>
      </w:pPr>
      <w:r>
        <w:rPr>
          <w:rFonts w:ascii="Arial Narrow" w:hAnsi="Arial Narrow"/>
          <w:b/>
          <w:sz w:val="24"/>
        </w:rPr>
      </w:r>
    </w:p>
    <w:p>
      <w:pPr>
        <w:pStyle w:val="Normal"/>
        <w:jc w:val="both"/>
        <w:rPr>
          <w:rFonts w:ascii="Arial Narrow" w:hAnsi="Arial Narrow"/>
          <w:b/>
          <w:b/>
          <w:sz w:val="24"/>
        </w:rPr>
      </w:pPr>
      <w:r>
        <w:rPr>
          <w:rFonts w:ascii="Arial Narrow" w:hAnsi="Arial Narrow"/>
          <w:b/>
          <w:sz w:val="24"/>
        </w:rPr>
      </w:r>
    </w:p>
    <w:p>
      <w:pPr>
        <w:pStyle w:val="Normal"/>
        <w:jc w:val="both"/>
        <w:rPr>
          <w:rFonts w:ascii="Arial Narrow" w:hAnsi="Arial Narrow"/>
          <w:b/>
          <w:b/>
          <w:sz w:val="24"/>
        </w:rPr>
      </w:pPr>
      <w:r>
        <w:rPr>
          <w:rFonts w:ascii="Arial Narrow" w:hAnsi="Arial Narrow"/>
          <w:b/>
          <w:sz w:val="24"/>
        </w:rPr>
      </w:r>
    </w:p>
    <w:p>
      <w:pPr>
        <w:pStyle w:val="Normal"/>
        <w:jc w:val="both"/>
        <w:rPr>
          <w:rFonts w:ascii="Arial Narrow" w:hAnsi="Arial Narrow"/>
          <w:b/>
          <w:b/>
          <w:sz w:val="24"/>
        </w:rPr>
      </w:pPr>
      <w:r>
        <w:rPr>
          <w:rFonts w:ascii="Arial Narrow" w:hAnsi="Arial Narrow"/>
          <w:b/>
          <w:sz w:val="24"/>
        </w:rPr>
      </w:r>
    </w:p>
    <w:p>
      <w:pPr>
        <w:pStyle w:val="Normal"/>
        <w:jc w:val="both"/>
        <w:rPr>
          <w:rFonts w:ascii="Arial Narrow" w:hAnsi="Arial Narrow"/>
          <w:b/>
          <w:b/>
          <w:sz w:val="24"/>
        </w:rPr>
      </w:pPr>
      <w:r>
        <w:rPr>
          <w:rFonts w:ascii="Arial Narrow" w:hAnsi="Arial Narrow"/>
          <w:b/>
          <w:sz w:val="24"/>
        </w:rPr>
      </w:r>
    </w:p>
    <w:p>
      <w:pPr>
        <w:pStyle w:val="Normal"/>
        <w:jc w:val="both"/>
        <w:rPr>
          <w:rFonts w:ascii="Arial Narrow" w:hAnsi="Arial Narrow"/>
          <w:b/>
          <w:b/>
          <w:sz w:val="24"/>
        </w:rPr>
      </w:pPr>
      <w:r>
        <w:rPr>
          <w:rFonts w:ascii="Arial Narrow" w:hAnsi="Arial Narrow"/>
          <w:b/>
          <w:sz w:val="24"/>
        </w:rPr>
      </w:r>
    </w:p>
    <w:p>
      <w:pPr>
        <w:pStyle w:val="Normal"/>
        <w:jc w:val="both"/>
        <w:rPr>
          <w:rFonts w:ascii="Arial Narrow" w:hAnsi="Arial Narrow"/>
          <w:b/>
          <w:b/>
          <w:sz w:val="24"/>
        </w:rPr>
      </w:pPr>
      <w:r>
        <w:rPr>
          <w:rFonts w:ascii="Arial Narrow" w:hAnsi="Arial Narrow"/>
          <w:b/>
          <w:sz w:val="24"/>
        </w:rPr>
      </w:r>
    </w:p>
    <w:p>
      <w:pPr>
        <w:pStyle w:val="Normal"/>
        <w:jc w:val="both"/>
        <w:rPr>
          <w:rFonts w:ascii="Arial Narrow" w:hAnsi="Arial Narrow"/>
          <w:b/>
          <w:b/>
          <w:sz w:val="24"/>
        </w:rPr>
      </w:pPr>
      <w:r>
        <w:rPr>
          <w:rFonts w:ascii="Arial Narrow" w:hAnsi="Arial Narrow"/>
          <w:b/>
          <w:sz w:val="24"/>
        </w:rPr>
      </w:r>
    </w:p>
    <w:p>
      <w:pPr>
        <w:pStyle w:val="Normal"/>
        <w:jc w:val="both"/>
        <w:rPr>
          <w:rFonts w:ascii="Arial Narrow" w:hAnsi="Arial Narrow"/>
          <w:b/>
          <w:b/>
          <w:sz w:val="24"/>
        </w:rPr>
      </w:pPr>
      <w:r>
        <w:rPr>
          <w:rFonts w:ascii="Arial Narrow" w:hAnsi="Arial Narrow"/>
          <w:b/>
          <w:sz w:val="24"/>
        </w:rPr>
      </w:r>
    </w:p>
    <w:p>
      <w:pPr>
        <w:pStyle w:val="Normal"/>
        <w:jc w:val="both"/>
        <w:rPr>
          <w:rFonts w:ascii="Arial Narrow" w:hAnsi="Arial Narrow"/>
          <w:b/>
          <w:b/>
          <w:sz w:val="24"/>
        </w:rPr>
      </w:pPr>
      <w:r>
        <w:rPr>
          <w:rFonts w:ascii="Arial Narrow" w:hAnsi="Arial Narrow"/>
          <w:b/>
          <w:sz w:val="24"/>
        </w:rPr>
      </w:r>
    </w:p>
    <w:p>
      <w:pPr>
        <w:pStyle w:val="Normal"/>
        <w:jc w:val="both"/>
        <w:rPr>
          <w:rFonts w:ascii="Arial Narrow" w:hAnsi="Arial Narrow"/>
          <w:b/>
          <w:b/>
          <w:sz w:val="24"/>
        </w:rPr>
      </w:pPr>
      <w:r>
        <w:rPr>
          <w:rFonts w:ascii="Arial Narrow" w:hAnsi="Arial Narrow"/>
          <w:b/>
          <w:sz w:val="24"/>
        </w:rPr>
      </w:r>
    </w:p>
    <w:p>
      <w:pPr>
        <w:pStyle w:val="Normal"/>
        <w:numPr>
          <w:ilvl w:val="0"/>
          <w:numId w:val="18"/>
        </w:numPr>
        <w:pBdr>
          <w:top w:val="single" w:sz="4" w:space="1" w:color="000000"/>
          <w:left w:val="single" w:sz="4" w:space="4" w:color="000000"/>
          <w:bottom w:val="single" w:sz="4" w:space="1" w:color="000000"/>
          <w:right w:val="single" w:sz="4" w:space="4" w:color="000000"/>
        </w:pBdr>
        <w:jc w:val="both"/>
        <w:rPr>
          <w:rFonts w:ascii="Arial Narrow" w:hAnsi="Arial Narrow"/>
          <w:b/>
          <w:b/>
          <w:bCs/>
          <w:sz w:val="24"/>
        </w:rPr>
      </w:pPr>
      <w:r>
        <w:rPr>
          <w:rFonts w:ascii="Arial Narrow" w:hAnsi="Arial Narrow"/>
          <w:b/>
          <w:bCs/>
          <w:sz w:val="24"/>
        </w:rPr>
        <w:t>CZĘŚĆ OGÓLNA</w:t>
      </w:r>
    </w:p>
    <w:p>
      <w:pPr>
        <w:pStyle w:val="Normal"/>
        <w:jc w:val="both"/>
        <w:rPr>
          <w:rFonts w:ascii="Arial Narrow" w:hAnsi="Arial Narrow"/>
          <w:sz w:val="24"/>
        </w:rPr>
      </w:pPr>
      <w:r>
        <w:rPr>
          <w:rFonts w:ascii="Arial Narrow" w:hAnsi="Arial Narrow"/>
          <w:sz w:val="24"/>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numPr>
          <w:ilvl w:val="1"/>
          <w:numId w:val="4"/>
        </w:numPr>
        <w:jc w:val="both"/>
        <w:rPr>
          <w:rFonts w:ascii="Arial Narrow" w:hAnsi="Arial Narrow"/>
          <w:b/>
          <w:b/>
          <w:bCs/>
          <w:sz w:val="22"/>
        </w:rPr>
      </w:pPr>
      <w:r>
        <w:rPr>
          <w:rFonts w:ascii="Arial Narrow" w:hAnsi="Arial Narrow"/>
          <w:b/>
          <w:bCs/>
          <w:sz w:val="22"/>
        </w:rPr>
        <w:t>Podstawy formalne</w:t>
      </w:r>
    </w:p>
    <w:p>
      <w:pPr>
        <w:pStyle w:val="Normal"/>
        <w:jc w:val="both"/>
        <w:rPr>
          <w:rFonts w:ascii="Arial Narrow" w:hAnsi="Arial Narrow"/>
          <w:sz w:val="22"/>
        </w:rPr>
      </w:pPr>
      <w:r>
        <w:rPr>
          <w:rFonts w:ascii="Arial Narrow" w:hAnsi="Arial Narrow"/>
          <w:sz w:val="22"/>
        </w:rPr>
      </w:r>
    </w:p>
    <w:p>
      <w:pPr>
        <w:pStyle w:val="ListParagraph"/>
        <w:numPr>
          <w:ilvl w:val="2"/>
          <w:numId w:val="4"/>
        </w:numPr>
        <w:jc w:val="both"/>
        <w:rPr>
          <w:rFonts w:ascii="Arial Narrow" w:hAnsi="Arial Narrow"/>
          <w:b/>
          <w:b/>
          <w:sz w:val="22"/>
        </w:rPr>
      </w:pPr>
      <w:r>
        <w:rPr>
          <w:rFonts w:ascii="Arial Narrow" w:hAnsi="Arial Narrow"/>
          <w:b/>
          <w:sz w:val="22"/>
        </w:rPr>
        <w:t xml:space="preserve">Zleceniodawca: </w:t>
      </w:r>
      <w:r>
        <w:rPr>
          <w:rFonts w:ascii="Arial Narrow" w:hAnsi="Arial Narrow"/>
          <w:sz w:val="22"/>
        </w:rPr>
        <w:t>Gmina Jaktorów z siedzibą w Jaktorowie przy ul. Warszawskiej 33.</w:t>
      </w:r>
    </w:p>
    <w:p>
      <w:pPr>
        <w:pStyle w:val="Normal"/>
        <w:jc w:val="both"/>
        <w:rPr>
          <w:rFonts w:ascii="Arial Narrow" w:hAnsi="Arial Narrow"/>
          <w:b/>
          <w:b/>
          <w:sz w:val="16"/>
          <w:szCs w:val="16"/>
        </w:rPr>
      </w:pPr>
      <w:r>
        <w:rPr>
          <w:rFonts w:ascii="Arial Narrow" w:hAnsi="Arial Narrow"/>
          <w:b/>
          <w:sz w:val="16"/>
          <w:szCs w:val="16"/>
        </w:rPr>
      </w:r>
    </w:p>
    <w:p>
      <w:pPr>
        <w:pStyle w:val="Normal"/>
        <w:numPr>
          <w:ilvl w:val="2"/>
          <w:numId w:val="4"/>
        </w:numPr>
        <w:tabs>
          <w:tab w:val="clear" w:pos="708"/>
        </w:tabs>
        <w:jc w:val="both"/>
        <w:rPr>
          <w:rFonts w:ascii="Arial Narrow" w:hAnsi="Arial Narrow"/>
          <w:bCs/>
          <w:sz w:val="22"/>
          <w:szCs w:val="22"/>
        </w:rPr>
      </w:pPr>
      <w:r>
        <w:rPr>
          <w:rFonts w:ascii="Arial Narrow" w:hAnsi="Arial Narrow"/>
          <w:b/>
          <w:sz w:val="22"/>
        </w:rPr>
        <w:t xml:space="preserve">Przedmiot i zakres prognozy: </w:t>
      </w:r>
      <w:r>
        <w:rPr>
          <w:rFonts w:ascii="Arial Narrow" w:hAnsi="Arial Narrow"/>
          <w:sz w:val="22"/>
        </w:rPr>
        <w:t>przedmiotem prognozy są skutki finansowe uchwalenia miejscowego planu zagospodarowania przestrzennego</w:t>
      </w:r>
      <w:r>
        <w:rPr/>
        <w:t xml:space="preserve"> </w:t>
      </w:r>
      <w:r>
        <w:rPr>
          <w:rFonts w:ascii="Arial Narrow" w:hAnsi="Arial Narrow"/>
          <w:bCs/>
          <w:sz w:val="22"/>
          <w:szCs w:val="22"/>
        </w:rPr>
        <w:t xml:space="preserve">fragmentu wsi Chylice, gmina Jaktorów, </w:t>
      </w:r>
      <w:r>
        <w:rPr>
          <w:rFonts w:ascii="Arial Narrow" w:hAnsi="Arial Narrow"/>
          <w:sz w:val="22"/>
          <w:szCs w:val="22"/>
        </w:rPr>
        <w:t xml:space="preserve">obejmującego obszar ograniczony fragmentem południowej granicy działki nr ewid. 215 (droga gminna ul. Słoneczna), fragmentem zachodniej granicy działki nr ewid. 166/2 (droga gminna nr 150307W ulica Alpejska), południowymi granicami działek nr ewid. 221/5, 221/6 oraz fragmentem wschodniej granicy działki 294/15 (rów) oraz wschodnimi granicami działek nr ewid.: 294/4, 294/2, 294/1 (rów). </w:t>
      </w:r>
      <w:r>
        <w:rPr>
          <w:rFonts w:ascii="Arial Narrow" w:hAnsi="Arial Narrow"/>
          <w:sz w:val="22"/>
        </w:rPr>
        <w:t>Zgodnie z §10 Rozporządzenia Ministra Rozwoju i Technologii z dnia 17.12.2021r. w sprawie wymaganego zakresu projektu miejscowego planu zagospodarowania przestrzennego opracowanie obejmuje:</w:t>
      </w:r>
    </w:p>
    <w:p>
      <w:pPr>
        <w:pStyle w:val="ListParagraph"/>
        <w:numPr>
          <w:ilvl w:val="0"/>
          <w:numId w:val="7"/>
        </w:numPr>
        <w:jc w:val="both"/>
        <w:rPr>
          <w:rFonts w:ascii="Arial Narrow" w:hAnsi="Arial Narrow"/>
          <w:sz w:val="22"/>
        </w:rPr>
      </w:pPr>
      <w:r>
        <w:rPr>
          <w:rFonts w:ascii="Arial Narrow" w:hAnsi="Arial Narrow"/>
          <w:sz w:val="22"/>
        </w:rPr>
        <w:t>prognozę wpływu ustaleń planu na dochody własne i wydatki gminy, w tym na wpływy z podatku od nieruchomości i inne dochody związane z obrotem nieruchomościami gminy oraz na opłaty i odszkodowania, o których mowa w art. 36 ustawy o planowaniu i zagospodarowaniu przestrzennym</w:t>
      </w:r>
    </w:p>
    <w:p>
      <w:pPr>
        <w:pStyle w:val="ListParagraph"/>
        <w:numPr>
          <w:ilvl w:val="0"/>
          <w:numId w:val="7"/>
        </w:numPr>
        <w:jc w:val="both"/>
        <w:rPr>
          <w:rFonts w:ascii="Arial Narrow" w:hAnsi="Arial Narrow"/>
          <w:sz w:val="22"/>
        </w:rPr>
      </w:pPr>
      <w:r>
        <w:rPr>
          <w:rFonts w:ascii="Arial Narrow" w:hAnsi="Arial Narrow"/>
          <w:sz w:val="22"/>
        </w:rPr>
        <w:t>prognozę wpływu ustaleń planu na wydatki związane z realizacją inwestycji z zakresu infrastruktury technicznej, które należą do zadań własnych gminy</w:t>
      </w:r>
    </w:p>
    <w:p>
      <w:pPr>
        <w:pStyle w:val="ListParagraph"/>
        <w:numPr>
          <w:ilvl w:val="0"/>
          <w:numId w:val="7"/>
        </w:numPr>
        <w:jc w:val="both"/>
        <w:rPr>
          <w:rFonts w:ascii="Arial Narrow" w:hAnsi="Arial Narrow"/>
          <w:sz w:val="22"/>
        </w:rPr>
      </w:pPr>
      <w:r>
        <w:rPr>
          <w:rFonts w:ascii="Arial Narrow" w:hAnsi="Arial Narrow"/>
          <w:sz w:val="22"/>
        </w:rPr>
        <w:t>wnioski i zalecenia dotyczące przyjęcia proponowanych rozwiązań projektu planu miejscowego wynikające z uwzględnienia ich skutków finansowych.</w:t>
      </w:r>
    </w:p>
    <w:p>
      <w:pPr>
        <w:pStyle w:val="Normal"/>
        <w:tabs>
          <w:tab w:val="clear" w:pos="708"/>
          <w:tab w:val="left" w:pos="1428" w:leader="none"/>
        </w:tabs>
        <w:ind w:left="720" w:hanging="0"/>
        <w:jc w:val="both"/>
        <w:rPr>
          <w:rFonts w:ascii="Arial Narrow" w:hAnsi="Arial Narrow"/>
          <w:sz w:val="16"/>
          <w:szCs w:val="16"/>
        </w:rPr>
      </w:pPr>
      <w:r>
        <w:rPr>
          <w:rFonts w:ascii="Arial Narrow" w:hAnsi="Arial Narrow"/>
          <w:sz w:val="22"/>
        </w:rPr>
        <w:tab/>
      </w:r>
    </w:p>
    <w:p>
      <w:pPr>
        <w:pStyle w:val="ListParagraph"/>
        <w:numPr>
          <w:ilvl w:val="2"/>
          <w:numId w:val="4"/>
        </w:numPr>
        <w:tabs>
          <w:tab w:val="clear" w:pos="708"/>
          <w:tab w:val="left" w:pos="1428" w:leader="none"/>
        </w:tabs>
        <w:jc w:val="both"/>
        <w:rPr>
          <w:rFonts w:ascii="Arial Narrow" w:hAnsi="Arial Narrow"/>
          <w:sz w:val="22"/>
        </w:rPr>
      </w:pPr>
      <w:r>
        <w:rPr>
          <w:rFonts w:ascii="Arial Narrow" w:hAnsi="Arial Narrow"/>
          <w:b/>
          <w:bCs/>
          <w:sz w:val="22"/>
        </w:rPr>
        <w:t>Cel opracowania:</w:t>
      </w:r>
      <w:r>
        <w:rPr>
          <w:rFonts w:ascii="Arial Narrow" w:hAnsi="Arial Narrow"/>
          <w:sz w:val="22"/>
        </w:rPr>
        <w:t xml:space="preserve"> celem opracowania jest wypełnienie zapisu Ustawy o planowaniu i zagospodarowaniu przestrzennym oraz Rozporządzenia Ministra Rozwoju i Technologii z dnia 17.12.2021r. w sprawie wymaganego zakresu projektu miejscowego planu zagospodarowania przestrzennego w odniesieniu do spodziewanych skutków finansowych uchwalenia planu. Prognoza pozwala oszacować: potencjalne obciążenia dla budżetu gminy wynikające z uchwalenia planu i uwzględnić je w przygotowywanych na kolejne lata budżetach oraz programach inwestycyjnych, a także – korzyści, jakie może odnieść gmina w związku z uchwaleniem planu.</w:t>
      </w:r>
    </w:p>
    <w:p>
      <w:pPr>
        <w:pStyle w:val="Normal"/>
        <w:tabs>
          <w:tab w:val="clear" w:pos="708"/>
          <w:tab w:val="left" w:pos="1428" w:leader="none"/>
        </w:tabs>
        <w:jc w:val="both"/>
        <w:rPr>
          <w:rFonts w:ascii="Arial Narrow" w:hAnsi="Arial Narrow"/>
          <w:sz w:val="16"/>
          <w:szCs w:val="16"/>
        </w:rPr>
      </w:pPr>
      <w:r>
        <w:rPr>
          <w:rFonts w:ascii="Arial Narrow" w:hAnsi="Arial Narrow"/>
          <w:sz w:val="16"/>
          <w:szCs w:val="16"/>
        </w:rPr>
      </w:r>
    </w:p>
    <w:p>
      <w:pPr>
        <w:pStyle w:val="ListParagraph"/>
        <w:numPr>
          <w:ilvl w:val="2"/>
          <w:numId w:val="4"/>
        </w:numPr>
        <w:jc w:val="both"/>
        <w:rPr>
          <w:rFonts w:ascii="Arial Narrow" w:hAnsi="Arial Narrow"/>
          <w:b/>
          <w:b/>
          <w:bCs/>
          <w:sz w:val="22"/>
        </w:rPr>
      </w:pPr>
      <w:r>
        <w:rPr>
          <w:rFonts w:ascii="Arial Narrow" w:hAnsi="Arial Narrow"/>
          <w:b/>
          <w:bCs/>
          <w:sz w:val="22"/>
        </w:rPr>
        <w:t xml:space="preserve">Data prognozy: </w:t>
      </w:r>
      <w:r>
        <w:rPr>
          <w:rFonts w:ascii="Arial Narrow" w:hAnsi="Arial Narrow"/>
          <w:bCs/>
          <w:sz w:val="22"/>
        </w:rPr>
        <w:t>Opracowanie wykonano wg stanu przedmiotu analizy i poziomu cen w grudniu 2022r.</w:t>
      </w:r>
    </w:p>
    <w:p>
      <w:pPr>
        <w:pStyle w:val="Normal"/>
        <w:tabs>
          <w:tab w:val="clear" w:pos="708"/>
          <w:tab w:val="left" w:pos="2148" w:leader="none"/>
        </w:tabs>
        <w:jc w:val="both"/>
        <w:rPr>
          <w:rFonts w:ascii="Arial Narrow" w:hAnsi="Arial Narrow"/>
          <w:sz w:val="16"/>
          <w:szCs w:val="16"/>
        </w:rPr>
      </w:pPr>
      <w:r>
        <w:rPr>
          <w:rFonts w:ascii="Arial Narrow" w:hAnsi="Arial Narrow"/>
          <w:sz w:val="16"/>
          <w:szCs w:val="16"/>
        </w:rPr>
      </w:r>
    </w:p>
    <w:p>
      <w:pPr>
        <w:pStyle w:val="Normal"/>
        <w:tabs>
          <w:tab w:val="clear" w:pos="708"/>
          <w:tab w:val="left" w:pos="2148" w:leader="none"/>
        </w:tabs>
        <w:jc w:val="both"/>
        <w:rPr>
          <w:rFonts w:ascii="Arial Narrow" w:hAnsi="Arial Narrow"/>
          <w:sz w:val="16"/>
          <w:szCs w:val="16"/>
        </w:rPr>
      </w:pPr>
      <w:r>
        <w:rPr>
          <w:rFonts w:ascii="Arial Narrow" w:hAnsi="Arial Narrow"/>
          <w:sz w:val="16"/>
          <w:szCs w:val="16"/>
        </w:rPr>
      </w:r>
    </w:p>
    <w:p>
      <w:pPr>
        <w:pStyle w:val="Normal"/>
        <w:jc w:val="both"/>
        <w:rPr>
          <w:rFonts w:ascii="Arial Narrow" w:hAnsi="Arial Narrow"/>
          <w:sz w:val="16"/>
        </w:rPr>
      </w:pPr>
      <w:r>
        <w:rPr>
          <w:rFonts w:ascii="Arial Narrow" w:hAnsi="Arial Narrow"/>
          <w:sz w:val="16"/>
        </w:rPr>
      </w:r>
    </w:p>
    <w:p>
      <w:pPr>
        <w:pStyle w:val="Normal"/>
        <w:numPr>
          <w:ilvl w:val="1"/>
          <w:numId w:val="4"/>
        </w:numPr>
        <w:jc w:val="both"/>
        <w:rPr>
          <w:rFonts w:ascii="Arial Narrow" w:hAnsi="Arial Narrow"/>
          <w:b/>
          <w:b/>
          <w:bCs/>
          <w:sz w:val="22"/>
        </w:rPr>
      </w:pPr>
      <w:r>
        <w:rPr>
          <w:rFonts w:ascii="Arial Narrow" w:hAnsi="Arial Narrow"/>
          <w:b/>
          <w:bCs/>
          <w:sz w:val="22"/>
        </w:rPr>
        <w:t>Podstawy prawne i merytoryczne</w:t>
      </w:r>
    </w:p>
    <w:p>
      <w:pPr>
        <w:pStyle w:val="Normal"/>
        <w:jc w:val="both"/>
        <w:rPr>
          <w:rFonts w:ascii="Arial Narrow" w:hAnsi="Arial Narrow"/>
          <w:b/>
          <w:b/>
          <w:bCs/>
          <w:sz w:val="16"/>
        </w:rPr>
      </w:pPr>
      <w:r>
        <w:rPr>
          <w:rFonts w:ascii="Arial Narrow" w:hAnsi="Arial Narrow"/>
          <w:b/>
          <w:bCs/>
          <w:sz w:val="16"/>
        </w:rPr>
      </w:r>
    </w:p>
    <w:p>
      <w:pPr>
        <w:pStyle w:val="Normal"/>
        <w:numPr>
          <w:ilvl w:val="0"/>
          <w:numId w:val="6"/>
        </w:numPr>
        <w:jc w:val="both"/>
        <w:rPr>
          <w:rFonts w:ascii="Arial Narrow" w:hAnsi="Arial Narrow"/>
          <w:bCs/>
          <w:sz w:val="22"/>
          <w:szCs w:val="22"/>
        </w:rPr>
      </w:pPr>
      <w:r>
        <w:rPr>
          <w:rFonts w:ascii="Arial Narrow" w:hAnsi="Arial Narrow"/>
          <w:bCs/>
          <w:sz w:val="22"/>
          <w:szCs w:val="22"/>
        </w:rPr>
        <w:t xml:space="preserve">Ustawa </w:t>
      </w:r>
      <w:r>
        <w:rPr>
          <w:rFonts w:ascii="Arial Narrow" w:hAnsi="Arial Narrow"/>
          <w:sz w:val="22"/>
          <w:szCs w:val="22"/>
        </w:rPr>
        <w:t>z dnia 27 marca 2003r. o planowaniu i zagospodarowaniu przestrzennym (tekst jednolity Dz.U. z 2022r. poz. 503,1846</w:t>
      </w:r>
      <w:r>
        <w:rPr>
          <w:rFonts w:ascii="Arial Narrow" w:hAnsi="Arial Narrow"/>
          <w:bCs/>
          <w:sz w:val="22"/>
          <w:szCs w:val="22"/>
        </w:rPr>
        <w:t>)</w:t>
      </w:r>
    </w:p>
    <w:p>
      <w:pPr>
        <w:pStyle w:val="Normal"/>
        <w:numPr>
          <w:ilvl w:val="0"/>
          <w:numId w:val="6"/>
        </w:numPr>
        <w:jc w:val="both"/>
        <w:rPr>
          <w:rFonts w:ascii="Arial Narrow" w:hAnsi="Arial Narrow"/>
          <w:bCs/>
          <w:sz w:val="22"/>
          <w:szCs w:val="22"/>
        </w:rPr>
      </w:pPr>
      <w:r>
        <w:rPr>
          <w:rFonts w:ascii="Arial Narrow" w:hAnsi="Arial Narrow"/>
          <w:bCs/>
          <w:sz w:val="22"/>
          <w:szCs w:val="22"/>
        </w:rPr>
        <w:t xml:space="preserve">Rozporządzenie </w:t>
      </w:r>
      <w:r>
        <w:rPr>
          <w:rFonts w:ascii="Arial Narrow" w:hAnsi="Arial Narrow"/>
          <w:sz w:val="22"/>
        </w:rPr>
        <w:t>Ministra Rozwoju i Technologii z dnia 17.12.2021r. w sprawie wymaganego zakresu projektu miejscowego planu zagospodarowania przestrzennego</w:t>
      </w:r>
      <w:r>
        <w:rPr>
          <w:rFonts w:ascii="Arial Narrow" w:hAnsi="Arial Narrow"/>
          <w:bCs/>
          <w:sz w:val="22"/>
          <w:szCs w:val="22"/>
        </w:rPr>
        <w:t xml:space="preserve"> (Dz.U.2021.2404)</w:t>
      </w:r>
    </w:p>
    <w:p>
      <w:pPr>
        <w:pStyle w:val="Normal"/>
        <w:numPr>
          <w:ilvl w:val="0"/>
          <w:numId w:val="6"/>
        </w:numPr>
        <w:jc w:val="both"/>
        <w:rPr>
          <w:rFonts w:ascii="Arial Narrow" w:hAnsi="Arial Narrow"/>
          <w:bCs/>
          <w:sz w:val="22"/>
          <w:szCs w:val="22"/>
        </w:rPr>
      </w:pPr>
      <w:r>
        <w:rPr>
          <w:rFonts w:ascii="Arial Narrow" w:hAnsi="Arial Narrow"/>
          <w:bCs/>
          <w:sz w:val="22"/>
          <w:szCs w:val="22"/>
        </w:rPr>
        <w:t xml:space="preserve">Ustawa </w:t>
      </w:r>
      <w:r>
        <w:rPr>
          <w:rFonts w:ascii="Arial Narrow" w:hAnsi="Arial Narrow"/>
          <w:sz w:val="22"/>
          <w:szCs w:val="22"/>
        </w:rPr>
        <w:t>z dnia 21 sierpnia 1997r. o gospodarce nieruchomościami (Dz.U. 2021 poz. 1899 z późniejszymi zmianami</w:t>
      </w:r>
      <w:r>
        <w:rPr>
          <w:rFonts w:ascii="Arial Narrow" w:hAnsi="Arial Narrow"/>
          <w:bCs/>
          <w:sz w:val="22"/>
          <w:szCs w:val="22"/>
        </w:rPr>
        <w:t>)</w:t>
      </w:r>
    </w:p>
    <w:p>
      <w:pPr>
        <w:pStyle w:val="Normal"/>
        <w:numPr>
          <w:ilvl w:val="0"/>
          <w:numId w:val="6"/>
        </w:numPr>
        <w:tabs>
          <w:tab w:val="clear" w:pos="708"/>
          <w:tab w:val="left" w:pos="993" w:leader="none"/>
        </w:tabs>
        <w:jc w:val="both"/>
        <w:rPr>
          <w:rFonts w:ascii="Arial Narrow" w:hAnsi="Arial Narrow"/>
          <w:bCs/>
          <w:sz w:val="22"/>
          <w:szCs w:val="22"/>
        </w:rPr>
      </w:pPr>
      <w:r>
        <w:rPr>
          <w:rFonts w:ascii="Arial Narrow" w:hAnsi="Arial Narrow"/>
          <w:bCs/>
          <w:sz w:val="22"/>
          <w:szCs w:val="22"/>
        </w:rPr>
        <w:t>Rozporządzenie Rady Ministrów z dnia 21 września 2004r. w sprawie wyceny nieruchomości i sporządzania operatu szacunkowego (Dz.U.2021.555 z późniejszymi zmianami)</w:t>
      </w:r>
    </w:p>
    <w:p>
      <w:pPr>
        <w:pStyle w:val="Normal"/>
        <w:numPr>
          <w:ilvl w:val="0"/>
          <w:numId w:val="6"/>
        </w:numPr>
        <w:tabs>
          <w:tab w:val="clear" w:pos="708"/>
          <w:tab w:val="left" w:pos="993" w:leader="none"/>
        </w:tabs>
        <w:jc w:val="both"/>
        <w:rPr>
          <w:rFonts w:ascii="Arial Narrow" w:hAnsi="Arial Narrow"/>
          <w:bCs/>
          <w:sz w:val="22"/>
          <w:szCs w:val="22"/>
        </w:rPr>
      </w:pPr>
      <w:r>
        <w:rPr>
          <w:rFonts w:ascii="Arial Narrow" w:hAnsi="Arial Narrow"/>
          <w:bCs/>
          <w:sz w:val="22"/>
          <w:szCs w:val="22"/>
        </w:rPr>
        <w:t>Ustawa z dnia 8 marca 1990r. o samorządzie gminnym (Dz.U. z 2022r. poz. 559, 583, 1005, 1079 i 1561)</w:t>
      </w:r>
    </w:p>
    <w:p>
      <w:pPr>
        <w:pStyle w:val="Normal"/>
        <w:numPr>
          <w:ilvl w:val="0"/>
          <w:numId w:val="6"/>
        </w:numPr>
        <w:tabs>
          <w:tab w:val="clear" w:pos="708"/>
          <w:tab w:val="left" w:pos="993" w:leader="none"/>
        </w:tabs>
        <w:jc w:val="both"/>
        <w:rPr>
          <w:rFonts w:ascii="Arial Narrow" w:hAnsi="Arial Narrow"/>
          <w:bCs/>
          <w:sz w:val="22"/>
          <w:szCs w:val="22"/>
        </w:rPr>
      </w:pPr>
      <w:r>
        <w:rPr>
          <w:rFonts w:ascii="Arial Narrow" w:hAnsi="Arial Narrow"/>
          <w:bCs/>
          <w:sz w:val="22"/>
          <w:szCs w:val="22"/>
        </w:rPr>
        <w:t>Ustawa z dnia 12 stycznia 1991r. o podatkach i opłatach lokalnych (Dz. U. z 2022r. poz.1452, 1512)</w:t>
      </w:r>
    </w:p>
    <w:p>
      <w:pPr>
        <w:pStyle w:val="Normal"/>
        <w:numPr>
          <w:ilvl w:val="0"/>
          <w:numId w:val="6"/>
        </w:numPr>
        <w:tabs>
          <w:tab w:val="clear" w:pos="708"/>
          <w:tab w:val="left" w:pos="993" w:leader="none"/>
        </w:tabs>
        <w:jc w:val="both"/>
        <w:rPr>
          <w:rFonts w:ascii="Arial Narrow" w:hAnsi="Arial Narrow"/>
          <w:bCs/>
          <w:sz w:val="22"/>
          <w:szCs w:val="22"/>
        </w:rPr>
      </w:pPr>
      <w:r>
        <w:rPr>
          <w:rFonts w:ascii="Arial Narrow" w:hAnsi="Arial Narrow"/>
          <w:bCs/>
          <w:sz w:val="22"/>
          <w:szCs w:val="22"/>
        </w:rPr>
        <w:t>„</w:t>
      </w:r>
      <w:r>
        <w:rPr>
          <w:rFonts w:ascii="Arial Narrow" w:hAnsi="Arial Narrow"/>
          <w:bCs/>
          <w:sz w:val="22"/>
          <w:szCs w:val="22"/>
        </w:rPr>
        <w:t>Studium uwarunkowań i kierunków zagospodarowania przestrzennego gminy Jaktorów” zatwierdzone Uchwałą Nr XXX/153/2001 Rady Gminy Jaktorów z dnia 8 czerwca 2001r.</w:t>
      </w:r>
    </w:p>
    <w:p>
      <w:pPr>
        <w:pStyle w:val="Normal"/>
        <w:numPr>
          <w:ilvl w:val="0"/>
          <w:numId w:val="6"/>
        </w:numPr>
        <w:tabs>
          <w:tab w:val="clear" w:pos="708"/>
          <w:tab w:val="left" w:pos="993" w:leader="none"/>
        </w:tabs>
        <w:jc w:val="both"/>
        <w:rPr>
          <w:rFonts w:ascii="Arial Narrow" w:hAnsi="Arial Narrow"/>
          <w:bCs/>
          <w:sz w:val="22"/>
          <w:szCs w:val="22"/>
        </w:rPr>
      </w:pPr>
      <w:r>
        <w:rPr>
          <w:rFonts w:ascii="Arial Narrow" w:hAnsi="Arial Narrow"/>
          <w:bCs/>
          <w:sz w:val="22"/>
          <w:szCs w:val="22"/>
        </w:rPr>
        <w:t xml:space="preserve">Uchwała </w:t>
      </w:r>
      <w:r>
        <w:rPr>
          <w:rFonts w:ascii="Arial Narrow" w:hAnsi="Arial Narrow"/>
          <w:bCs/>
          <w:sz w:val="22"/>
        </w:rPr>
        <w:t>nr XLVI/336/2017 Rady Gminy w Jaktorowie z dnia 20.11.2017 w sprawie określenia wysokości stawek podatku od nieruchomości obowiązujących na terenie gminy Jaktorów oraz zwolnień w tym podatku</w:t>
      </w:r>
    </w:p>
    <w:p>
      <w:pPr>
        <w:pStyle w:val="Normal"/>
        <w:jc w:val="both"/>
        <w:rPr>
          <w:rFonts w:ascii="Arial Narrow" w:hAnsi="Arial Narrow"/>
          <w:b/>
          <w:b/>
          <w:bCs/>
          <w:sz w:val="22"/>
        </w:rPr>
      </w:pPr>
      <w:r>
        <w:rPr>
          <w:rFonts w:ascii="Arial Narrow" w:hAnsi="Arial Narrow"/>
          <w:b/>
          <w:bCs/>
          <w:sz w:val="22"/>
        </w:rPr>
        <w:t>1.3. Źródła Informacji</w:t>
      </w:r>
    </w:p>
    <w:p>
      <w:pPr>
        <w:pStyle w:val="Normal"/>
        <w:ind w:left="2127" w:hanging="0"/>
        <w:jc w:val="both"/>
        <w:rPr>
          <w:rFonts w:ascii="Arial Narrow" w:hAnsi="Arial Narrow"/>
          <w:sz w:val="16"/>
          <w:szCs w:val="16"/>
        </w:rPr>
      </w:pPr>
      <w:r>
        <w:rPr>
          <w:rFonts w:ascii="Arial Narrow" w:hAnsi="Arial Narrow"/>
          <w:sz w:val="16"/>
          <w:szCs w:val="16"/>
        </w:rPr>
      </w:r>
    </w:p>
    <w:p>
      <w:pPr>
        <w:pStyle w:val="ListParagraph"/>
        <w:numPr>
          <w:ilvl w:val="0"/>
          <w:numId w:val="5"/>
        </w:numPr>
        <w:tabs>
          <w:tab w:val="clear" w:pos="708"/>
          <w:tab w:val="left" w:pos="993" w:leader="none"/>
        </w:tabs>
        <w:ind w:left="720" w:right="-74" w:hanging="360"/>
        <w:jc w:val="both"/>
        <w:rPr>
          <w:rFonts w:ascii="Arial Narrow" w:hAnsi="Arial Narrow"/>
          <w:bCs/>
          <w:sz w:val="22"/>
          <w:szCs w:val="22"/>
        </w:rPr>
      </w:pPr>
      <w:r>
        <w:rPr>
          <w:rFonts w:ascii="Arial Narrow" w:hAnsi="Arial Narrow"/>
          <w:bCs/>
          <w:sz w:val="22"/>
          <w:szCs w:val="22"/>
        </w:rPr>
        <w:t>Uchwała Nr LV/418/2022 Rady Gminy Jaktorów z dnia 29 czerwca 2022r.</w:t>
      </w:r>
      <w:r>
        <w:rPr>
          <w:rFonts w:ascii="Arial Narrow" w:hAnsi="Arial Narrow"/>
          <w:bCs/>
          <w:sz w:val="22"/>
        </w:rPr>
        <w:t xml:space="preserve"> w sprawie przystąpienia do sporządzenia miejscowego planu zagospodarowania przestrzennego fragmentu wsi Chylice, gmina Jaktorów</w:t>
      </w:r>
    </w:p>
    <w:p>
      <w:pPr>
        <w:pStyle w:val="ListParagraph"/>
        <w:numPr>
          <w:ilvl w:val="0"/>
          <w:numId w:val="5"/>
        </w:numPr>
        <w:jc w:val="both"/>
        <w:rPr>
          <w:rFonts w:ascii="Arial Narrow" w:hAnsi="Arial Narrow"/>
          <w:sz w:val="22"/>
          <w:szCs w:val="22"/>
        </w:rPr>
      </w:pPr>
      <w:r>
        <w:rPr>
          <w:rFonts w:ascii="Arial Narrow" w:hAnsi="Arial Narrow"/>
          <w:sz w:val="22"/>
          <w:szCs w:val="22"/>
        </w:rPr>
        <w:t xml:space="preserve">Analiza zasadności przystąpienia do sporządzenia miejscowego planu   zagospodarowania przestrzenne-go i stopnia zgodności przewidywanych rozwiązań z ustaleniami studium, dla fragmentu wsi Chylice, gm. Jaktorów, obejmującego obszar ograniczony fragmentem południowej granicy działki nr ewid. 215 (droga gminna ul. Słoneczna), fragmentem zachodniej granicy działki nr ewid. 166/2 (droga gminna nr 150307W ulica Alpejska), południowymi granicami działek nr ewid. 221/5, 221/6 oraz fragmentem wschodniej granicy działki 294/15 (rów) oraz wschodnimi granicami działek nr ewid.: 294/4, 294/2, 294/1 (rów) </w:t>
      </w:r>
    </w:p>
    <w:p>
      <w:pPr>
        <w:pStyle w:val="ListParagraph"/>
        <w:numPr>
          <w:ilvl w:val="0"/>
          <w:numId w:val="5"/>
        </w:numPr>
        <w:jc w:val="both"/>
        <w:rPr>
          <w:rFonts w:ascii="Arial Narrow" w:hAnsi="Arial Narrow"/>
          <w:sz w:val="22"/>
        </w:rPr>
      </w:pPr>
      <w:r>
        <w:rPr>
          <w:rFonts w:ascii="Arial Narrow" w:hAnsi="Arial Narrow"/>
          <w:sz w:val="22"/>
        </w:rPr>
        <w:t xml:space="preserve">Projekt miejscowego </w:t>
      </w:r>
      <w:r>
        <w:rPr>
          <w:rFonts w:ascii="Arial Narrow" w:hAnsi="Arial Narrow"/>
          <w:bCs/>
          <w:sz w:val="22"/>
        </w:rPr>
        <w:t xml:space="preserve">planu zagospodarowania przestrzennego fragmentu wsi </w:t>
      </w:r>
      <w:r>
        <w:rPr>
          <w:rFonts w:ascii="Arial Narrow" w:hAnsi="Arial Narrow"/>
          <w:sz w:val="22"/>
        </w:rPr>
        <w:t xml:space="preserve">fragmentu </w:t>
      </w:r>
      <w:r>
        <w:rPr>
          <w:rFonts w:ascii="Arial Narrow" w:hAnsi="Arial Narrow"/>
          <w:sz w:val="22"/>
          <w:szCs w:val="22"/>
        </w:rPr>
        <w:t>Chylice, gmina Jaktorów, obejmującego obszar ograniczony fragmentem południowej granicy działki nr ewid. 215 (droga gminna ul. Słoneczna), fragmentem zachodniej granicy działki nr ewid. 166/2 (droga gminna nr 150307W ulica Alpejska), południowymi granicami działek nr ewid. 221/5, 221/6 oraz fragmentem wschodniej granicy działki 294/15 (rów) oraz wschodnimi granicami działek nr ewid.: 294/4, 294/2, 294/1 (rów)</w:t>
      </w:r>
    </w:p>
    <w:p>
      <w:pPr>
        <w:pStyle w:val="ListParagraph"/>
        <w:numPr>
          <w:ilvl w:val="0"/>
          <w:numId w:val="5"/>
        </w:numPr>
        <w:jc w:val="both"/>
        <w:rPr>
          <w:rFonts w:ascii="Arial Narrow" w:hAnsi="Arial Narrow"/>
          <w:bCs/>
          <w:sz w:val="22"/>
        </w:rPr>
      </w:pPr>
      <w:r>
        <w:rPr>
          <w:rFonts w:ascii="Arial Narrow" w:hAnsi="Arial Narrow"/>
          <w:bCs/>
          <w:sz w:val="22"/>
        </w:rPr>
        <w:t>Informacje o cenach transakcyjnych nieruchomości uzyskane w Starostwie Powiatowym w Grodzisku Mazowieckim</w:t>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ListParagraph"/>
        <w:numPr>
          <w:ilvl w:val="0"/>
          <w:numId w:val="4"/>
        </w:numPr>
        <w:pBdr>
          <w:top w:val="single" w:sz="4" w:space="1" w:color="000000"/>
          <w:left w:val="single" w:sz="4" w:space="4" w:color="000000"/>
          <w:bottom w:val="single" w:sz="4" w:space="1" w:color="000000"/>
          <w:right w:val="single" w:sz="4" w:space="4" w:color="000000"/>
        </w:pBdr>
        <w:jc w:val="both"/>
        <w:rPr>
          <w:rFonts w:ascii="Arial Narrow" w:hAnsi="Arial Narrow"/>
          <w:b/>
          <w:b/>
          <w:bCs/>
          <w:sz w:val="24"/>
          <w:szCs w:val="24"/>
        </w:rPr>
      </w:pPr>
      <w:r>
        <w:rPr>
          <w:rFonts w:ascii="Arial Narrow" w:hAnsi="Arial Narrow"/>
          <w:b/>
          <w:bCs/>
          <w:sz w:val="24"/>
          <w:szCs w:val="24"/>
        </w:rPr>
        <w:t>OPIS PROCEDURY SPORZĄDZANIA PROGNOZY</w:t>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numPr>
          <w:ilvl w:val="1"/>
          <w:numId w:val="4"/>
        </w:numPr>
        <w:jc w:val="both"/>
        <w:rPr>
          <w:rFonts w:ascii="Arial Narrow" w:hAnsi="Arial Narrow"/>
          <w:b/>
          <w:b/>
          <w:bCs/>
          <w:sz w:val="22"/>
        </w:rPr>
      </w:pPr>
      <w:r>
        <w:rPr>
          <w:rFonts w:ascii="Arial Narrow" w:hAnsi="Arial Narrow"/>
          <w:b/>
          <w:bCs/>
          <w:sz w:val="22"/>
        </w:rPr>
        <w:t>Uwarunkowania prawne i wybór sposobu prognozowania</w:t>
      </w:r>
    </w:p>
    <w:p>
      <w:pPr>
        <w:pStyle w:val="Normal"/>
        <w:jc w:val="both"/>
        <w:rPr>
          <w:rFonts w:ascii="Arial Narrow" w:hAnsi="Arial Narrow"/>
          <w:sz w:val="16"/>
          <w:szCs w:val="16"/>
        </w:rPr>
      </w:pPr>
      <w:r>
        <w:rPr>
          <w:rFonts w:ascii="Arial Narrow" w:hAnsi="Arial Narrow"/>
          <w:sz w:val="16"/>
          <w:szCs w:val="16"/>
        </w:rPr>
      </w:r>
    </w:p>
    <w:p>
      <w:pPr>
        <w:pStyle w:val="Normal"/>
        <w:jc w:val="both"/>
        <w:rPr>
          <w:rFonts w:ascii="Arial Narrow" w:hAnsi="Arial Narrow"/>
          <w:b/>
          <w:b/>
          <w:sz w:val="22"/>
        </w:rPr>
      </w:pPr>
      <w:r>
        <w:rPr>
          <w:rFonts w:ascii="Arial Narrow" w:hAnsi="Arial Narrow"/>
          <w:sz w:val="22"/>
        </w:rPr>
        <w:t>Zgodnie z §11 Rozporządzenia Ministra Infrastruktury z dn. 26.08.2003r. w sprawie wymaganego zakresu projektu miejscowego planu zagospodarowania przestrzennego analiza skutków finansowych uchwalenia miejscowego planu zagospodarowania przestrzennego obejmuje:</w:t>
      </w:r>
    </w:p>
    <w:p>
      <w:pPr>
        <w:pStyle w:val="ListParagraph"/>
        <w:numPr>
          <w:ilvl w:val="0"/>
          <w:numId w:val="8"/>
        </w:numPr>
        <w:jc w:val="both"/>
        <w:rPr>
          <w:rFonts w:ascii="Arial Narrow" w:hAnsi="Arial Narrow"/>
          <w:sz w:val="22"/>
        </w:rPr>
      </w:pPr>
      <w:r>
        <w:rPr>
          <w:rFonts w:ascii="Arial Narrow" w:hAnsi="Arial Narrow"/>
          <w:sz w:val="22"/>
        </w:rPr>
        <w:t>określenie wpływu ustaleń planu na wartość rynkową gruntów i ewentualne związane z tym wpływy do budżetu gminy (z tytułu opłaty planistycznej, opłaty adiacenckiej, podatku od nieruchomości)</w:t>
      </w:r>
    </w:p>
    <w:p>
      <w:pPr>
        <w:pStyle w:val="ListParagraph"/>
        <w:numPr>
          <w:ilvl w:val="0"/>
          <w:numId w:val="8"/>
        </w:numPr>
        <w:jc w:val="both"/>
        <w:rPr>
          <w:rFonts w:ascii="Arial Narrow" w:hAnsi="Arial Narrow"/>
          <w:sz w:val="22"/>
        </w:rPr>
      </w:pPr>
      <w:r>
        <w:rPr>
          <w:rFonts w:ascii="Arial Narrow" w:hAnsi="Arial Narrow"/>
          <w:sz w:val="22"/>
        </w:rPr>
        <w:t>określenie ewentualnych kosztów, jakie gmina będzie musiała ponieść jeśli wystąpi spadek wartości  nieruchomości na skutek uchwalenia planu</w:t>
      </w:r>
    </w:p>
    <w:p>
      <w:pPr>
        <w:pStyle w:val="ListParagraph"/>
        <w:numPr>
          <w:ilvl w:val="0"/>
          <w:numId w:val="8"/>
        </w:numPr>
        <w:jc w:val="both"/>
        <w:rPr>
          <w:rFonts w:ascii="Arial Narrow" w:hAnsi="Arial Narrow"/>
          <w:sz w:val="22"/>
        </w:rPr>
      </w:pPr>
      <w:r>
        <w:rPr>
          <w:rFonts w:ascii="Arial Narrow" w:hAnsi="Arial Narrow"/>
          <w:sz w:val="22"/>
        </w:rPr>
        <w:t>określenie ewentualnych kosztów związanych z budową infrastruktury technicznej w ramach zadań własnych gminy</w:t>
      </w:r>
    </w:p>
    <w:p>
      <w:pPr>
        <w:pStyle w:val="Normal"/>
        <w:jc w:val="both"/>
        <w:rPr>
          <w:rFonts w:ascii="Arial Narrow" w:hAnsi="Arial Narrow"/>
          <w:sz w:val="16"/>
          <w:szCs w:val="16"/>
        </w:rPr>
      </w:pPr>
      <w:r>
        <w:rPr>
          <w:rFonts w:ascii="Arial Narrow" w:hAnsi="Arial Narrow"/>
          <w:sz w:val="16"/>
          <w:szCs w:val="16"/>
        </w:rPr>
      </w:r>
    </w:p>
    <w:p>
      <w:pPr>
        <w:pStyle w:val="Normal"/>
        <w:jc w:val="both"/>
        <w:rPr>
          <w:rFonts w:ascii="Arial Narrow" w:hAnsi="Arial Narrow"/>
          <w:sz w:val="22"/>
        </w:rPr>
      </w:pPr>
      <w:r>
        <w:rPr>
          <w:rFonts w:ascii="Arial Narrow" w:hAnsi="Arial Narrow"/>
          <w:sz w:val="22"/>
        </w:rPr>
        <w:t>Opracowanie obejmuje analizę w/wym. czynników na podstawie analizy cen nieruchomości w poszczególnych segmentach lokalnego rynku nieruchomości, kosztów budowy infrastruktury, potencjalnych wpływów z tytułu opłat planistycznych i adiacenckich oraz podatków i opłat lokalnych.</w:t>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16"/>
          <w:szCs w:val="16"/>
        </w:rPr>
      </w:pPr>
      <w:r>
        <w:rPr>
          <w:rFonts w:ascii="Arial Narrow" w:hAnsi="Arial Narrow"/>
          <w:sz w:val="16"/>
          <w:szCs w:val="16"/>
        </w:rPr>
      </w:r>
    </w:p>
    <w:p>
      <w:pPr>
        <w:pStyle w:val="ListParagraph"/>
        <w:numPr>
          <w:ilvl w:val="0"/>
          <w:numId w:val="10"/>
        </w:numPr>
        <w:jc w:val="both"/>
        <w:rPr>
          <w:rFonts w:ascii="Arial Narrow" w:hAnsi="Arial Narrow"/>
          <w:b/>
          <w:b/>
          <w:sz w:val="22"/>
        </w:rPr>
      </w:pPr>
      <w:r>
        <w:rPr>
          <w:rFonts w:ascii="Arial Narrow" w:hAnsi="Arial Narrow"/>
          <w:b/>
          <w:sz w:val="22"/>
        </w:rPr>
        <w:t>Zasady określania zmiany wartości nieruchomości na skutek uchwalenia planu zagospodarowania przestrzennego</w:t>
      </w:r>
    </w:p>
    <w:p>
      <w:pPr>
        <w:pStyle w:val="Normal"/>
        <w:jc w:val="both"/>
        <w:rPr>
          <w:rFonts w:ascii="Arial Narrow" w:hAnsi="Arial Narrow"/>
          <w:sz w:val="16"/>
          <w:szCs w:val="16"/>
        </w:rPr>
      </w:pPr>
      <w:r>
        <w:rPr>
          <w:rFonts w:ascii="Arial Narrow" w:hAnsi="Arial Narrow"/>
          <w:sz w:val="16"/>
          <w:szCs w:val="16"/>
        </w:rPr>
      </w:r>
    </w:p>
    <w:p>
      <w:pPr>
        <w:pStyle w:val="BodyText3"/>
        <w:spacing w:lineRule="auto" w:line="240"/>
        <w:rPr>
          <w:b w:val="false"/>
          <w:b w:val="false"/>
        </w:rPr>
      </w:pPr>
      <w:r>
        <w:rPr>
          <w:b w:val="false"/>
        </w:rPr>
        <w:t>Niniejsze opracowanie ma na celu wskazanie czy istnieją przesłanki do naliczenia opłaty planistycznej oraz w jakiej wysokości taka opłata powinna zostać naliczona. W związku z tym, należy oszacować wartość rynkową prawa własności gruntu według poziomu cen z dnia sprzedaży przy założeniu stanu nieruchomości z dnia wejścia w życie planu zagospodarowania przestrzennego przy uwzględnieniu przeznaczenia terenu obowiązującego po uchwaleniu planu oraz przy uwzględnieniu przeznaczenia terenu obowiązującego przed uchwaleniem planu lub faktycznego sposobu wykorzystania nieruchomości przed jego uchwaleniem.  Oszacowany wzrost powinien być spowodowany tylko zapisami wynikającymi z ustaleń planu.</w:t>
      </w:r>
    </w:p>
    <w:p>
      <w:pPr>
        <w:pStyle w:val="BodyText3"/>
        <w:spacing w:lineRule="auto" w:line="240"/>
        <w:rPr>
          <w:b w:val="false"/>
          <w:b w:val="false"/>
        </w:rPr>
      </w:pPr>
      <w:r>
        <w:rPr>
          <w:b w:val="false"/>
        </w:rPr>
      </w:r>
    </w:p>
    <w:p>
      <w:pPr>
        <w:pStyle w:val="BodyText3"/>
        <w:spacing w:lineRule="auto" w:line="240"/>
        <w:rPr>
          <w:b w:val="false"/>
          <w:b w:val="false"/>
        </w:rPr>
      </w:pPr>
      <w:r>
        <w:rPr>
          <w:b w:val="false"/>
        </w:rPr>
      </w:r>
    </w:p>
    <w:p>
      <w:pPr>
        <w:pStyle w:val="BodyText3"/>
        <w:spacing w:lineRule="auto" w:line="240"/>
        <w:rPr>
          <w:b w:val="false"/>
          <w:b w:val="false"/>
        </w:rPr>
      </w:pPr>
      <w:r>
        <w:rPr>
          <w:b w:val="false"/>
        </w:rPr>
        <w:t>Oszacowania dokonuje się zgodnie z art. 36 ust. 3 i 4, 37 ust. 1, 3 i 12 i 87 ust. 3a ustawy o planowaniu i zagospodarowaniu przestrzennym tj.:</w:t>
      </w:r>
    </w:p>
    <w:p>
      <w:pPr>
        <w:pStyle w:val="BodyText3"/>
        <w:spacing w:lineRule="auto" w:line="240"/>
        <w:rPr>
          <w:b w:val="false"/>
          <w:b w:val="false"/>
          <w:sz w:val="16"/>
          <w:szCs w:val="16"/>
        </w:rPr>
      </w:pPr>
      <w:r>
        <w:rPr>
          <w:b w:val="false"/>
          <w:sz w:val="16"/>
          <w:szCs w:val="16"/>
        </w:rPr>
      </w:r>
    </w:p>
    <w:p>
      <w:pPr>
        <w:pStyle w:val="BodyText3"/>
        <w:spacing w:lineRule="auto" w:line="240"/>
        <w:rPr>
          <w:b w:val="false"/>
          <w:b w:val="false"/>
          <w:sz w:val="16"/>
          <w:szCs w:val="16"/>
        </w:rPr>
      </w:pPr>
      <w:r>
        <w:rPr>
          <w:b w:val="false"/>
          <w:sz w:val="16"/>
          <w:szCs w:val="16"/>
        </w:rPr>
      </w:r>
    </w:p>
    <w:p>
      <w:pPr>
        <w:pStyle w:val="Normal"/>
        <w:jc w:val="both"/>
        <w:rPr>
          <w:rFonts w:ascii="Arial Narrow" w:hAnsi="Arial Narrow"/>
          <w:sz w:val="22"/>
          <w:szCs w:val="22"/>
        </w:rPr>
      </w:pPr>
      <w:r>
        <w:rPr>
          <w:rFonts w:ascii="Arial Narrow" w:hAnsi="Arial Narrow"/>
          <w:sz w:val="22"/>
          <w:szCs w:val="22"/>
        </w:rPr>
        <w:t xml:space="preserve">Art. 36. </w:t>
      </w:r>
    </w:p>
    <w:p>
      <w:pPr>
        <w:pStyle w:val="Normal"/>
        <w:ind w:left="708" w:hanging="0"/>
        <w:jc w:val="both"/>
        <w:rPr>
          <w:rFonts w:ascii="Arial Narrow" w:hAnsi="Arial Narrow"/>
          <w:sz w:val="22"/>
          <w:szCs w:val="22"/>
        </w:rPr>
      </w:pPr>
      <w:r>
        <w:rPr>
          <w:rFonts w:ascii="Arial Narrow" w:hAnsi="Arial Narrow"/>
          <w:sz w:val="22"/>
          <w:szCs w:val="22"/>
        </w:rPr>
        <w:t xml:space="preserve">3. Jeżeli, w związku z uchwaleniem planu miejscowego albo jego zmianą, wartość nieruchomości uległa obniżeniu, a właściciel albo użytkownik wieczysty zbywa tę nieruchomość i nie skorzystał z praw, o których mowa w ust. 1 i 2, może żądać od gminy odszkodowania równego obniżeniu wartości nieruchomości. </w:t>
      </w:r>
    </w:p>
    <w:p>
      <w:pPr>
        <w:pStyle w:val="Normal"/>
        <w:ind w:left="708" w:hanging="0"/>
        <w:jc w:val="both"/>
        <w:rPr>
          <w:rFonts w:ascii="Arial Narrow" w:hAnsi="Arial Narrow"/>
          <w:sz w:val="22"/>
          <w:szCs w:val="22"/>
        </w:rPr>
      </w:pPr>
      <w:r>
        <w:rPr>
          <w:rFonts w:ascii="Arial Narrow" w:hAnsi="Arial Narrow"/>
          <w:sz w:val="22"/>
          <w:szCs w:val="22"/>
        </w:rPr>
        <w:t>4. Jeżeli w związku z uchwaleniem planu miejscowego albo jego zmianą wartość nieruchomości wzrosła, a właściciel lub użytkownik wieczysty zbywa tę nieruchomość, wójt, burmistrz albo prezydent miasta pobiera jednorazową opłatę ustaloną w tym planie, określoną w stosunku procentowym do wzrostu wartości nieruchomości. Opłata ta jest dochodem własnym gminy. Wysokość opłaty nie może być wyższa niż 30% wzrostu wartości nieruchomości</w:t>
      </w:r>
    </w:p>
    <w:p>
      <w:pPr>
        <w:pStyle w:val="Normal"/>
        <w:jc w:val="both"/>
        <w:rPr>
          <w:rFonts w:ascii="Arial Narrow" w:hAnsi="Arial Narrow"/>
          <w:sz w:val="16"/>
          <w:szCs w:val="16"/>
        </w:rPr>
      </w:pPr>
      <w:r>
        <w:rPr>
          <w:rFonts w:ascii="Arial Narrow" w:hAnsi="Arial Narrow"/>
          <w:sz w:val="16"/>
          <w:szCs w:val="16"/>
        </w:rPr>
      </w:r>
    </w:p>
    <w:p>
      <w:pPr>
        <w:pStyle w:val="Normal"/>
        <w:jc w:val="both"/>
        <w:rPr>
          <w:rFonts w:ascii="Arial Narrow" w:hAnsi="Arial Narrow"/>
          <w:bCs/>
          <w:sz w:val="22"/>
          <w:szCs w:val="22"/>
        </w:rPr>
      </w:pPr>
      <w:r>
        <w:rPr>
          <w:rFonts w:ascii="Arial Narrow" w:hAnsi="Arial Narrow"/>
          <w:bCs/>
          <w:sz w:val="22"/>
          <w:szCs w:val="22"/>
        </w:rPr>
        <w:t xml:space="preserve">Art. 37. </w:t>
      </w:r>
    </w:p>
    <w:p>
      <w:pPr>
        <w:pStyle w:val="Normal"/>
        <w:numPr>
          <w:ilvl w:val="0"/>
          <w:numId w:val="11"/>
        </w:numPr>
        <w:jc w:val="both"/>
        <w:rPr>
          <w:rFonts w:ascii="Arial Narrow" w:hAnsi="Arial Narrow"/>
          <w:bCs/>
          <w:sz w:val="22"/>
          <w:szCs w:val="22"/>
        </w:rPr>
      </w:pPr>
      <w:r>
        <w:rPr>
          <w:rFonts w:ascii="Arial Narrow" w:hAnsi="Arial Narrow"/>
          <w:bCs/>
          <w:sz w:val="22"/>
          <w:szCs w:val="22"/>
        </w:rPr>
        <w:t xml:space="preserve">Wysokość odszkodowania z tytułu obniżenia wartości nieruchomości, o którym mowa w art. 36 ust. 3, oraz wysokość opłaty z tytułu wzrostu wartości nieruchomości, o której mowa w art. 36 ust. 4, ustala się na dzień jej sprzedaży. Obniżenie oraz wzrost wartości nieruchomości stanowią różnicę między wartością nieruchomości określoną przy uwzględnieniu przeznaczenia terenu obowiązującego po uchwaleniu lub zmianie planu miejscowego a jej wartością, określoną przy uwzględnieniu przeznaczenia terenu, obowiązującego przed zmianą tego planu, lub faktycznego sposobu wykorzystywania nieruchomości przed jego uchwaleniem. </w:t>
      </w:r>
    </w:p>
    <w:p>
      <w:pPr>
        <w:pStyle w:val="Normal"/>
        <w:ind w:left="708" w:hanging="0"/>
        <w:jc w:val="both"/>
        <w:rPr>
          <w:rFonts w:ascii="Arial Narrow" w:hAnsi="Arial Narrow"/>
          <w:bCs/>
          <w:sz w:val="22"/>
          <w:szCs w:val="22"/>
        </w:rPr>
      </w:pPr>
      <w:r>
        <w:rPr>
          <w:rFonts w:ascii="Arial Narrow" w:hAnsi="Arial Narrow"/>
          <w:bCs/>
          <w:sz w:val="22"/>
          <w:szCs w:val="22"/>
        </w:rPr>
        <w:t>3.   Roszczenia, o których mowa w art. 36 ust. 3, można zgłaszać w terminie 5 lat od dnia, w którym plan miejscowy albo jego zmiana stały się obowiązujące. 4. Przepis ust. 3 stosuje się odpowiednio do opłat, o których mowa w art. 36 ust. 4.</w:t>
      </w:r>
    </w:p>
    <w:p>
      <w:pPr>
        <w:pStyle w:val="Normal"/>
        <w:ind w:left="708" w:hanging="0"/>
        <w:jc w:val="both"/>
        <w:rPr>
          <w:rFonts w:ascii="Arial Narrow" w:hAnsi="Arial Narrow"/>
          <w:bCs/>
          <w:sz w:val="22"/>
          <w:szCs w:val="22"/>
        </w:rPr>
      </w:pPr>
      <w:r>
        <w:rPr>
          <w:rFonts w:ascii="Arial Narrow" w:hAnsi="Arial Narrow"/>
          <w:bCs/>
          <w:sz w:val="22"/>
          <w:szCs w:val="22"/>
        </w:rPr>
        <w:t xml:space="preserve">12. </w:t>
      </w:r>
      <w:r>
        <w:rPr>
          <w:rStyle w:val="Markedcontent"/>
          <w:rFonts w:ascii="Arial Narrow" w:hAnsi="Arial Narrow"/>
          <w:bCs/>
          <w:sz w:val="22"/>
          <w:szCs w:val="22"/>
        </w:rPr>
        <w:t>W odniesieniu do zasad określania wartości nieruchomości oraz zasad określania skutków finansowych uchwalania lub zmiany planów miejscowych, a także w odniesieniu do osób uprawnionych do określania tych wartości i skutków finansowych stosuje się przepisy ustawy z dnia 21 sierpnia 1997 r. o gospodarce nie-ruchomościami, o ile przepisy tej ustawy nie stanowią inaczej</w:t>
      </w:r>
      <w:r>
        <w:rPr>
          <w:rFonts w:ascii="Arial Narrow" w:hAnsi="Arial Narrow"/>
          <w:bCs/>
          <w:sz w:val="22"/>
          <w:szCs w:val="22"/>
        </w:rPr>
        <w:t>.</w:t>
      </w:r>
    </w:p>
    <w:p>
      <w:pPr>
        <w:pStyle w:val="Normal"/>
        <w:jc w:val="both"/>
        <w:rPr>
          <w:rFonts w:ascii="Arial Narrow" w:hAnsi="Arial Narrow"/>
          <w:bCs/>
          <w:sz w:val="22"/>
          <w:szCs w:val="22"/>
        </w:rPr>
      </w:pPr>
      <w:r>
        <w:rPr>
          <w:rFonts w:ascii="Arial Narrow" w:hAnsi="Arial Narrow"/>
          <w:bCs/>
          <w:sz w:val="22"/>
          <w:szCs w:val="22"/>
        </w:rPr>
      </w:r>
    </w:p>
    <w:p>
      <w:pPr>
        <w:pStyle w:val="Normal"/>
        <w:jc w:val="both"/>
        <w:rPr>
          <w:rFonts w:ascii="Arial Narrow" w:hAnsi="Arial Narrow"/>
          <w:bCs/>
          <w:sz w:val="22"/>
          <w:szCs w:val="22"/>
        </w:rPr>
      </w:pPr>
      <w:r>
        <w:rPr>
          <w:rFonts w:ascii="Arial Narrow" w:hAnsi="Arial Narrow"/>
          <w:bCs/>
          <w:sz w:val="22"/>
          <w:szCs w:val="22"/>
        </w:rPr>
        <w:t xml:space="preserve">Art. 87. </w:t>
      </w:r>
    </w:p>
    <w:p>
      <w:pPr>
        <w:pStyle w:val="Normal"/>
        <w:ind w:left="708" w:hanging="0"/>
        <w:jc w:val="both"/>
        <w:rPr>
          <w:rFonts w:ascii="Arial Narrow" w:hAnsi="Arial Narrow"/>
          <w:bCs/>
          <w:sz w:val="22"/>
          <w:szCs w:val="22"/>
        </w:rPr>
      </w:pPr>
      <w:r>
        <w:rPr>
          <w:rFonts w:ascii="Arial Narrow" w:hAnsi="Arial Narrow"/>
          <w:bCs/>
          <w:sz w:val="22"/>
          <w:szCs w:val="22"/>
        </w:rPr>
        <w:t>3a. Jeżeli uchwalenie planu miejscowego nastąpiło po dniu 31 grudnia 2003r. w związku z utratą mocy przez miejscowy plan zagospodarowania przestrzennego uchwalony przed dniem 1 stycznia 1995r., przepisu art. 37 ust. 1 zdanie drugie niniejszej ustawy, w odniesieniu do wzrostu wartości nieruchomości, nie stosuje się, o ile wartość nieruchomości określona przy uwzględnieniu przeznaczenia terenu ustalonego w miejscowym planie zagospodarowania przestrzennego uchwalonym przed dniem 1 stycznia 1995 r. jest większa, niż wartość nieruchomości określona przy uwzględnieniu faktycznego sposobu jej wykorzystywania po utracie mocy tego planu. W takim przypadku wzrost wartości nieruchomości, o którym mowa w art. 36 ust. 4, stanowi różnicę między wartością nieruchomości określoną przy uwzględnieniu przeznaczenia terenu obowiązującego po uchwaleniu planu miejscowego a jej wartością określoną przy uwzględnieniu przeznaczenia terenu ustalonego w planie miejscowym uchwalonym przed dniem 1 stycznia 1995r.</w:t>
      </w:r>
    </w:p>
    <w:p>
      <w:pPr>
        <w:pStyle w:val="BodyText3"/>
        <w:spacing w:lineRule="auto" w:line="240"/>
        <w:rPr>
          <w:b w:val="false"/>
          <w:b w:val="false"/>
          <w:szCs w:val="22"/>
        </w:rPr>
      </w:pPr>
      <w:r>
        <w:rPr>
          <w:b w:val="false"/>
          <w:szCs w:val="22"/>
        </w:rPr>
      </w:r>
    </w:p>
    <w:p>
      <w:pPr>
        <w:pStyle w:val="Normal"/>
        <w:jc w:val="both"/>
        <w:rPr>
          <w:rFonts w:ascii="Arial Narrow" w:hAnsi="Arial Narrow"/>
          <w:sz w:val="22"/>
        </w:rPr>
      </w:pPr>
      <w:r>
        <w:rPr>
          <w:rFonts w:ascii="Arial Narrow" w:hAnsi="Arial Narrow"/>
          <w:sz w:val="22"/>
        </w:rPr>
        <w:t xml:space="preserve">Wzrost wartości szacuje się zgodnie ze wzorem: </w:t>
      </w:r>
    </w:p>
    <w:p>
      <w:pPr>
        <w:pStyle w:val="Normal"/>
        <w:jc w:val="both"/>
        <w:rPr>
          <w:rFonts w:ascii="Arial Narrow" w:hAnsi="Arial Narrow"/>
          <w:sz w:val="16"/>
        </w:rPr>
      </w:pPr>
      <w:r>
        <w:rPr>
          <w:rFonts w:ascii="Arial Narrow" w:hAnsi="Arial Narrow"/>
          <w:sz w:val="16"/>
        </w:rPr>
      </w:r>
    </w:p>
    <w:p>
      <w:pPr>
        <w:pStyle w:val="Normal"/>
        <w:jc w:val="both"/>
        <w:rPr>
          <w:rFonts w:ascii="Arial Narrow" w:hAnsi="Arial Narrow"/>
          <w:b/>
          <w:b/>
          <w:bCs/>
          <w:sz w:val="22"/>
        </w:rPr>
      </w:pPr>
      <w:r>
        <w:rPr>
          <w:rFonts w:ascii="Arial Narrow" w:hAnsi="Arial Narrow"/>
          <w:b/>
          <w:sz w:val="22"/>
        </w:rPr>
        <w:tab/>
      </w:r>
      <w:r>
        <w:rPr>
          <w:rFonts w:ascii="Arial Narrow" w:hAnsi="Arial Narrow"/>
          <w:b/>
          <w:bCs/>
          <w:sz w:val="22"/>
        </w:rPr>
        <w:t xml:space="preserve">ΔW = P </w:t>
      </w:r>
      <w:r>
        <w:rPr>
          <w:rFonts w:eastAsia="Symbol" w:cs="Symbol" w:ascii="Symbol" w:hAnsi="Symbol"/>
          <w:b/>
          <w:bCs/>
          <w:sz w:val="22"/>
        </w:rPr>
        <w:t>*</w:t>
      </w:r>
      <w:r>
        <w:rPr>
          <w:rFonts w:ascii="Arial Narrow" w:hAnsi="Arial Narrow"/>
          <w:b/>
          <w:bCs/>
          <w:sz w:val="22"/>
        </w:rPr>
        <w:t xml:space="preserve"> (W</w:t>
      </w:r>
      <w:r>
        <w:rPr>
          <w:rFonts w:ascii="Arial Narrow" w:hAnsi="Arial Narrow"/>
          <w:b/>
          <w:bCs/>
          <w:sz w:val="22"/>
          <w:vertAlign w:val="subscript"/>
        </w:rPr>
        <w:t>z</w:t>
      </w:r>
      <w:r>
        <w:rPr>
          <w:rFonts w:ascii="Arial Narrow" w:hAnsi="Arial Narrow"/>
          <w:b/>
          <w:bCs/>
          <w:sz w:val="22"/>
        </w:rPr>
        <w:t xml:space="preserve"> – W)</w:t>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t xml:space="preserve">Gdzie: </w:t>
      </w:r>
    </w:p>
    <w:p>
      <w:pPr>
        <w:pStyle w:val="Normal"/>
        <w:ind w:left="705" w:hanging="0"/>
        <w:jc w:val="both"/>
        <w:rPr>
          <w:rFonts w:ascii="Arial Narrow" w:hAnsi="Arial Narrow"/>
          <w:sz w:val="22"/>
        </w:rPr>
      </w:pPr>
      <w:r>
        <w:rPr>
          <w:rFonts w:ascii="Arial Narrow" w:hAnsi="Arial Narrow"/>
          <w:b/>
          <w:bCs/>
          <w:sz w:val="22"/>
        </w:rPr>
        <w:t>ΔW</w:t>
      </w:r>
      <w:r>
        <w:rPr>
          <w:rFonts w:ascii="Arial Narrow" w:hAnsi="Arial Narrow"/>
          <w:sz w:val="22"/>
        </w:rPr>
        <w:t xml:space="preserve"> – wzrost lub spadek wartości nieruchomości na skutek uchwalenia planu, ustalony na dzień zbycia</w:t>
        <w:tab/>
      </w:r>
      <w:r>
        <w:rPr>
          <w:rFonts w:ascii="Arial Narrow" w:hAnsi="Arial Narrow"/>
          <w:b/>
          <w:bCs/>
          <w:sz w:val="22"/>
        </w:rPr>
        <w:t>P</w:t>
      </w:r>
      <w:r>
        <w:rPr>
          <w:rFonts w:ascii="Arial Narrow" w:hAnsi="Arial Narrow"/>
          <w:sz w:val="22"/>
        </w:rPr>
        <w:t xml:space="preserve"> – powierzchnia nieruchomości w [m</w:t>
      </w:r>
      <w:r>
        <w:rPr>
          <w:rFonts w:ascii="Arial Narrow" w:hAnsi="Arial Narrow"/>
          <w:sz w:val="22"/>
          <w:vertAlign w:val="superscript"/>
        </w:rPr>
        <w:t>2</w:t>
      </w:r>
      <w:r>
        <w:rPr>
          <w:rFonts w:ascii="Arial Narrow" w:hAnsi="Arial Narrow"/>
          <w:sz w:val="22"/>
        </w:rPr>
        <w:t>]</w:t>
      </w:r>
    </w:p>
    <w:p>
      <w:pPr>
        <w:pStyle w:val="Normal"/>
        <w:ind w:left="705" w:hanging="0"/>
        <w:jc w:val="both"/>
        <w:rPr>
          <w:rFonts w:ascii="Arial Narrow" w:hAnsi="Arial Narrow"/>
          <w:sz w:val="22"/>
        </w:rPr>
      </w:pPr>
      <w:r>
        <w:rPr>
          <w:rFonts w:ascii="Arial Narrow" w:hAnsi="Arial Narrow"/>
          <w:b/>
          <w:bCs/>
          <w:sz w:val="22"/>
        </w:rPr>
        <w:t>W</w:t>
      </w:r>
      <w:r>
        <w:rPr>
          <w:rFonts w:ascii="Arial Narrow" w:hAnsi="Arial Narrow"/>
          <w:b/>
          <w:bCs/>
          <w:sz w:val="22"/>
          <w:vertAlign w:val="subscript"/>
        </w:rPr>
        <w:t>z</w:t>
      </w:r>
      <w:r>
        <w:rPr>
          <w:rFonts w:ascii="Arial Narrow" w:hAnsi="Arial Narrow"/>
          <w:sz w:val="22"/>
        </w:rPr>
        <w:t xml:space="preserve"> – wartość 1m</w:t>
      </w:r>
      <w:r>
        <w:rPr>
          <w:rFonts w:ascii="Arial Narrow" w:hAnsi="Arial Narrow"/>
          <w:sz w:val="22"/>
          <w:vertAlign w:val="superscript"/>
        </w:rPr>
        <w:t>2</w:t>
      </w:r>
      <w:r>
        <w:rPr>
          <w:rFonts w:ascii="Arial Narrow" w:hAnsi="Arial Narrow"/>
          <w:sz w:val="22"/>
        </w:rPr>
        <w:t xml:space="preserve"> nieruchomości dla stanu na dzień zbycia przy założeniu ustaleń nowego planu określona na dzień zbycia</w:t>
      </w:r>
    </w:p>
    <w:p>
      <w:pPr>
        <w:pStyle w:val="Normal"/>
        <w:ind w:left="705" w:hanging="0"/>
        <w:jc w:val="both"/>
        <w:rPr>
          <w:rFonts w:ascii="Arial Narrow" w:hAnsi="Arial Narrow"/>
          <w:sz w:val="22"/>
        </w:rPr>
      </w:pPr>
      <w:r>
        <w:rPr>
          <w:rFonts w:ascii="Arial Narrow" w:hAnsi="Arial Narrow"/>
          <w:b/>
          <w:bCs/>
          <w:sz w:val="22"/>
        </w:rPr>
        <w:t>W</w:t>
      </w:r>
      <w:r>
        <w:rPr>
          <w:rFonts w:ascii="Arial Narrow" w:hAnsi="Arial Narrow"/>
          <w:sz w:val="22"/>
        </w:rPr>
        <w:t xml:space="preserve"> – wartość 1m</w:t>
      </w:r>
      <w:r>
        <w:rPr>
          <w:rFonts w:ascii="Arial Narrow" w:hAnsi="Arial Narrow"/>
          <w:sz w:val="22"/>
          <w:vertAlign w:val="superscript"/>
        </w:rPr>
        <w:t>2</w:t>
      </w:r>
      <w:r>
        <w:rPr>
          <w:rFonts w:ascii="Arial Narrow" w:hAnsi="Arial Narrow"/>
          <w:sz w:val="22"/>
        </w:rPr>
        <w:t xml:space="preserve"> nieruchomości dla stanu na dzień zbycia przy założeniu faktycznego sposobu wykorzystania przed uchwaleniem planu, określona na dzień zbycia</w:t>
      </w:r>
    </w:p>
    <w:p>
      <w:pPr>
        <w:pStyle w:val="Normal"/>
        <w:ind w:left="705" w:hanging="0"/>
        <w:jc w:val="both"/>
        <w:rPr>
          <w:rFonts w:ascii="Arial Narrow" w:hAnsi="Arial Narrow"/>
          <w:sz w:val="22"/>
        </w:rPr>
      </w:pPr>
      <w:r>
        <w:rPr>
          <w:rFonts w:ascii="Arial Narrow" w:hAnsi="Arial Narrow"/>
          <w:sz w:val="22"/>
        </w:rPr>
      </w:r>
    </w:p>
    <w:p>
      <w:pPr>
        <w:pStyle w:val="Normal"/>
        <w:ind w:left="705" w:hanging="0"/>
        <w:jc w:val="both"/>
        <w:rPr>
          <w:rFonts w:ascii="Arial Narrow" w:hAnsi="Arial Narrow"/>
          <w:sz w:val="22"/>
        </w:rPr>
      </w:pPr>
      <w:r>
        <w:rPr>
          <w:rFonts w:ascii="Arial Narrow" w:hAnsi="Arial Narrow"/>
          <w:sz w:val="22"/>
        </w:rPr>
      </w:r>
    </w:p>
    <w:p>
      <w:pPr>
        <w:pStyle w:val="ListParagraph"/>
        <w:numPr>
          <w:ilvl w:val="0"/>
          <w:numId w:val="10"/>
        </w:numPr>
        <w:jc w:val="both"/>
        <w:rPr>
          <w:rFonts w:ascii="Arial Narrow" w:hAnsi="Arial Narrow"/>
          <w:b/>
          <w:b/>
          <w:sz w:val="22"/>
        </w:rPr>
      </w:pPr>
      <w:r>
        <w:rPr>
          <w:rFonts w:ascii="Arial Narrow" w:hAnsi="Arial Narrow"/>
          <w:b/>
          <w:sz w:val="22"/>
        </w:rPr>
        <w:t>Zasady określania wysokości opłaty adiacenckiej związanej z podziałem nieruchomości</w:t>
      </w:r>
    </w:p>
    <w:p>
      <w:pPr>
        <w:pStyle w:val="ListParagraph"/>
        <w:jc w:val="both"/>
        <w:rPr>
          <w:rFonts w:ascii="Arial Narrow" w:hAnsi="Arial Narrow"/>
          <w:b/>
          <w:b/>
          <w:sz w:val="22"/>
        </w:rPr>
      </w:pPr>
      <w:r>
        <w:rPr>
          <w:rFonts w:ascii="Arial Narrow" w:hAnsi="Arial Narrow"/>
          <w:b/>
          <w:sz w:val="22"/>
        </w:rPr>
      </w:r>
    </w:p>
    <w:p>
      <w:pPr>
        <w:pStyle w:val="Normal"/>
        <w:ind w:left="360" w:hanging="0"/>
        <w:jc w:val="both"/>
        <w:rPr>
          <w:rFonts w:ascii="Arial Narrow" w:hAnsi="Arial Narrow"/>
          <w:sz w:val="22"/>
        </w:rPr>
      </w:pPr>
      <w:r>
        <w:rPr>
          <w:rFonts w:ascii="Arial Narrow" w:hAnsi="Arial Narrow"/>
          <w:sz w:val="22"/>
        </w:rPr>
        <w:t xml:space="preserve">Oszacowania wysokości opłaty adiacenckiej ustala się zgodnie z treścią art. 98a ustawy z dnia 21 sierpnia 1997r. o gospodarce nieruchomościami, tj.: </w:t>
      </w:r>
    </w:p>
    <w:p>
      <w:pPr>
        <w:pStyle w:val="Normal"/>
        <w:ind w:left="360" w:hanging="0"/>
        <w:jc w:val="both"/>
        <w:rPr>
          <w:rFonts w:ascii="Arial Narrow" w:hAnsi="Arial Narrow"/>
          <w:sz w:val="22"/>
        </w:rPr>
      </w:pPr>
      <w:r>
        <w:rPr>
          <w:rFonts w:ascii="Arial Narrow" w:hAnsi="Arial Narrow"/>
          <w:sz w:val="22"/>
        </w:rPr>
      </w:r>
    </w:p>
    <w:p>
      <w:pPr>
        <w:pStyle w:val="Normal"/>
        <w:ind w:left="708" w:hanging="0"/>
        <w:jc w:val="both"/>
        <w:rPr>
          <w:rFonts w:ascii="Arial Narrow" w:hAnsi="Arial Narrow"/>
          <w:sz w:val="22"/>
        </w:rPr>
      </w:pPr>
      <w:r>
        <w:rPr>
          <w:rFonts w:ascii="Arial Narrow" w:hAnsi="Arial Narrow"/>
          <w:sz w:val="22"/>
        </w:rPr>
        <w:t xml:space="preserve">Art. 98a. </w:t>
      </w:r>
    </w:p>
    <w:p>
      <w:pPr>
        <w:pStyle w:val="Normal"/>
        <w:ind w:left="708" w:hanging="0"/>
        <w:jc w:val="both"/>
        <w:rPr>
          <w:rFonts w:ascii="Arial Narrow" w:hAnsi="Arial Narrow"/>
          <w:sz w:val="22"/>
          <w:szCs w:val="22"/>
        </w:rPr>
      </w:pPr>
      <w:r>
        <w:rPr>
          <w:rFonts w:ascii="Arial Narrow" w:hAnsi="Arial Narrow"/>
          <w:sz w:val="22"/>
          <w:szCs w:val="22"/>
        </w:rPr>
        <w:t xml:space="preserve">1. Jeżeli w wyniku podziału nieruchomości dokonanego na wniosek właściciela lub użytkownika wieczystego, który wniósł opłaty roczne za cały okres użytkowania tego prawa, wzrośnie jej wartość, wójt, burmistrz albo prezydent miasta może ustalić, w drodze decyzji, opłatę adiacencką z tego tytułu. Wysokość stawki procentowej opłaty adiacenckiej ustala rada gminy, w drodze uchwały, w wysokości nie większej niż 30% różnicy wartości nieruchomości. Wszczęcie postępowania w sprawie ustalenia opłaty adiacenckiej może nastąpić w terminie do 3 lat od dnia, w którym decyzja zatwierdzająca podział nieruchomości stała się ostateczna albo orzeczenie o podziale stało się prawomocne. Przepisy art. 144 ust. 2, art. 146 ust. 1a, art. 147 i art. 148 ust. 1–3 stosuje się odpowiednio. </w:t>
      </w:r>
    </w:p>
    <w:p>
      <w:pPr>
        <w:pStyle w:val="Normal"/>
        <w:ind w:left="708" w:hanging="0"/>
        <w:jc w:val="both"/>
        <w:rPr>
          <w:rFonts w:ascii="Arial Narrow" w:hAnsi="Arial Narrow"/>
          <w:sz w:val="22"/>
          <w:szCs w:val="22"/>
        </w:rPr>
      </w:pPr>
      <w:r>
        <w:rPr>
          <w:rFonts w:ascii="Arial Narrow" w:hAnsi="Arial Narrow"/>
          <w:sz w:val="22"/>
          <w:szCs w:val="22"/>
        </w:rPr>
        <w:t xml:space="preserve">1a. Ustalenie opłaty adiacenckiej może nastąpić, jeżeli w dniu, w którym decyzja zatwierdzająca podział nieruchomości stała się ostateczna albo orzeczenie o podziale nieruchomości stało się prawomocne, obowiązywała uchwała rady gminy, o której mowa w ust. 1. Do ustalenia opłaty adiacenckiej przyjmuje się stawkę procentową obowiązującą w dniu, w którym decyzja zatwierdzająca podział nieruchomości stała się ostateczna albo orzeczenie o podziale nieruchomości stało się prawomocne. </w:t>
      </w:r>
    </w:p>
    <w:p>
      <w:pPr>
        <w:pStyle w:val="Normal"/>
        <w:ind w:left="708" w:hanging="0"/>
        <w:jc w:val="both"/>
        <w:rPr>
          <w:rFonts w:ascii="Arial Narrow" w:hAnsi="Arial Narrow"/>
          <w:sz w:val="22"/>
          <w:szCs w:val="22"/>
        </w:rPr>
      </w:pPr>
      <w:r>
        <w:rPr>
          <w:rFonts w:ascii="Arial Narrow" w:hAnsi="Arial Narrow"/>
          <w:sz w:val="22"/>
          <w:szCs w:val="22"/>
        </w:rPr>
        <w:t xml:space="preserve">1b. Wartość nieruchomości przed podziałem i po podziale określa się według cen na dzień, w którym decyzja zatwierdzająca podział nieruchomości stała się ostateczna albo orzeczenie o podziale stało się prawomocne. Stan nieruchomości przed podziałem przyjmuje się na dzień wydania decyzji zatwierdzającej podział nieruchomości, a stan nieruchomości po podziale przyjmuje się na dzień, w którym decyzja zatwierdzająca podział nieruchomości stała się ostateczna albo orzeczenie o podziale stało się prawomocne, przy czym nie uwzględnia się części składowych nieruchomości. Wartość nieruchomości przyjmuje się jako sumę wartości działek możliwych do samodzielnego zagospodarowania wchodzących w skład nieruchomości podlegającej podziałowi. </w:t>
      </w:r>
    </w:p>
    <w:p>
      <w:pPr>
        <w:pStyle w:val="Normal"/>
        <w:ind w:left="708" w:hanging="0"/>
        <w:jc w:val="both"/>
        <w:rPr>
          <w:rFonts w:ascii="Arial Narrow" w:hAnsi="Arial Narrow"/>
          <w:sz w:val="22"/>
          <w:szCs w:val="22"/>
        </w:rPr>
      </w:pPr>
      <w:r>
        <w:rPr>
          <w:rFonts w:ascii="Arial Narrow" w:hAnsi="Arial Narrow"/>
          <w:sz w:val="22"/>
          <w:szCs w:val="22"/>
        </w:rPr>
        <w:t xml:space="preserve">2. Przepisu ust. 1 nie stosuje się przy podziale nieruchomości dokonywanym niezależnie od ustaleń planu miejscowego. </w:t>
      </w:r>
    </w:p>
    <w:p>
      <w:pPr>
        <w:pStyle w:val="Normal"/>
        <w:ind w:left="708" w:hanging="0"/>
        <w:jc w:val="both"/>
        <w:rPr>
          <w:rFonts w:ascii="Arial Narrow" w:hAnsi="Arial Narrow"/>
          <w:sz w:val="22"/>
          <w:szCs w:val="22"/>
        </w:rPr>
      </w:pPr>
      <w:r>
        <w:rPr>
          <w:rFonts w:ascii="Arial Narrow" w:hAnsi="Arial Narrow"/>
          <w:sz w:val="22"/>
          <w:szCs w:val="22"/>
        </w:rPr>
        <w:t xml:space="preserve">3. Jeżeli w wyniku podziału nieruchomości wydzielono działki gruntu pod drogi publiczne lub pod poszerzenie istniejących dróg publicznych, do określenia wartości nieruchomości, zarówno według stanu przed podziałem jak i po podziale, powierzchnię nieruchomości pomniejsza się o powierzchnię działek gruntu wydzielonych pod te drogi lub pod ich poszerzenie. </w:t>
      </w:r>
    </w:p>
    <w:p>
      <w:pPr>
        <w:pStyle w:val="Normal"/>
        <w:ind w:left="708" w:hanging="0"/>
        <w:jc w:val="both"/>
        <w:rPr>
          <w:rFonts w:ascii="Arial Narrow" w:hAnsi="Arial Narrow"/>
          <w:sz w:val="22"/>
          <w:szCs w:val="22"/>
        </w:rPr>
      </w:pPr>
      <w:r>
        <w:rPr>
          <w:rFonts w:ascii="Arial Narrow" w:hAnsi="Arial Narrow"/>
          <w:sz w:val="22"/>
          <w:szCs w:val="22"/>
        </w:rPr>
        <w:t xml:space="preserve">4. W rozliczeniu opłaty adiacenckiej lub zaległości z tego tytułu, osoba zobowiązana do jej wniesienia może przenieść na rzecz gminy, za jej zgodą, prawa do działki gruntu wydzielonej w wyniku podziału. Przepis art. 66 ustawy z dnia 29 sierpnia 1997 r. – Ordynacja podatkowa (Dz. U. z 2020 r. poz. 1325 i 1423) stosuje się odpowiednio. Różnice między wartością działki gruntu wydzielonej w wyniku podziału a należnością wynikającą z opłaty adiacenckiej pokrywane są w formie dopłat. </w:t>
      </w:r>
    </w:p>
    <w:p>
      <w:pPr>
        <w:pStyle w:val="Normal"/>
        <w:ind w:left="708" w:hanging="0"/>
        <w:jc w:val="both"/>
        <w:rPr>
          <w:rFonts w:ascii="Arial Narrow" w:hAnsi="Arial Narrow"/>
          <w:sz w:val="22"/>
          <w:szCs w:val="22"/>
        </w:rPr>
      </w:pPr>
      <w:r>
        <w:rPr>
          <w:rFonts w:ascii="Arial Narrow" w:hAnsi="Arial Narrow"/>
          <w:sz w:val="22"/>
          <w:szCs w:val="22"/>
        </w:rPr>
        <w:t>5. Do ulg w spłacie oraz umarzania należności z tytułu opłaty adiacenckiej stosuje się przepisy ustawy z dnia 27 sierpnia 2009 r. o finansach publicznych.</w:t>
      </w:r>
    </w:p>
    <w:p>
      <w:pPr>
        <w:pStyle w:val="ListParagraph"/>
        <w:jc w:val="both"/>
        <w:rPr>
          <w:rFonts w:ascii="Arial Narrow" w:hAnsi="Arial Narrow"/>
          <w:sz w:val="16"/>
          <w:szCs w:val="16"/>
        </w:rPr>
      </w:pPr>
      <w:r>
        <w:rPr>
          <w:rFonts w:ascii="Arial Narrow" w:hAnsi="Arial Narrow"/>
          <w:sz w:val="16"/>
          <w:szCs w:val="16"/>
        </w:rPr>
      </w:r>
    </w:p>
    <w:p>
      <w:pPr>
        <w:pStyle w:val="ListParagraph"/>
        <w:jc w:val="both"/>
        <w:rPr>
          <w:rFonts w:ascii="Arial Narrow" w:hAnsi="Arial Narrow"/>
          <w:sz w:val="16"/>
          <w:szCs w:val="16"/>
        </w:rPr>
      </w:pPr>
      <w:r>
        <w:rPr>
          <w:rFonts w:ascii="Arial Narrow" w:hAnsi="Arial Narrow"/>
          <w:sz w:val="16"/>
          <w:szCs w:val="16"/>
        </w:rPr>
      </w:r>
    </w:p>
    <w:p>
      <w:pPr>
        <w:pStyle w:val="Normal"/>
        <w:jc w:val="both"/>
        <w:rPr>
          <w:rFonts w:ascii="Arial Narrow" w:hAnsi="Arial Narrow"/>
          <w:sz w:val="22"/>
        </w:rPr>
      </w:pPr>
      <w:r>
        <w:rPr>
          <w:rFonts w:ascii="Arial Narrow" w:hAnsi="Arial Narrow"/>
          <w:sz w:val="22"/>
        </w:rPr>
        <w:t>Zgodnie z art. 98a aby oszacować wzrost wartości na skutek podziału nieruchomości, należy oszacować wartość nieruchomości przed podziałem i po podziale według cen na dzień w którym decyzja zatwierdzająca podział nieruchomości stała się ostateczna. Stan nieruchomości przed podziałem przyjmuje się na dzień wydania decyzji zatwierdzającej podział nieruchomości, a stan nieruchomości po podziale przyjmuje się na dzień, w którym decyzja zatwierdzająca podział nieruchomości stała się ostateczna.</w:t>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ListParagraph"/>
        <w:numPr>
          <w:ilvl w:val="0"/>
          <w:numId w:val="10"/>
        </w:numPr>
        <w:jc w:val="both"/>
        <w:rPr>
          <w:rFonts w:ascii="Arial Narrow" w:hAnsi="Arial Narrow"/>
          <w:sz w:val="22"/>
        </w:rPr>
      </w:pPr>
      <w:r>
        <w:rPr>
          <w:rFonts w:ascii="Arial Narrow" w:hAnsi="Arial Narrow"/>
          <w:b/>
          <w:sz w:val="22"/>
        </w:rPr>
        <w:t>Podstawa do określenia wpływów z tytułu podatku od nieruchomości</w:t>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bCs/>
          <w:sz w:val="22"/>
        </w:rPr>
      </w:pPr>
      <w:r>
        <w:rPr>
          <w:rFonts w:ascii="Arial Narrow" w:hAnsi="Arial Narrow"/>
          <w:sz w:val="22"/>
        </w:rPr>
        <w:t xml:space="preserve">Wysokość stawek podatku od nieruchomości reguluje Uchwała </w:t>
      </w:r>
      <w:r>
        <w:rPr>
          <w:rFonts w:ascii="Arial Narrow" w:hAnsi="Arial Narrow"/>
          <w:bCs/>
          <w:sz w:val="22"/>
        </w:rPr>
        <w:t>nr XLVI/336/2017 Rady Gminy w Jaktorowie z dnia 20.11.2017 w sprawie określenia wysokości stawek podatku od nieruchomości obowiązujących na terenie gminy Jaktorów oraz zwolnień w tym podatku. Zgodnie z w/wym. Uchwałą:</w:t>
      </w:r>
    </w:p>
    <w:p>
      <w:pPr>
        <w:pStyle w:val="Normal"/>
        <w:jc w:val="both"/>
        <w:rPr>
          <w:rFonts w:ascii="Arial Narrow" w:hAnsi="Arial Narrow"/>
          <w:bCs/>
          <w:sz w:val="22"/>
        </w:rPr>
      </w:pPr>
      <w:r>
        <w:rPr>
          <w:rFonts w:ascii="Arial Narrow" w:hAnsi="Arial Narrow"/>
          <w:bCs/>
          <w:sz w:val="22"/>
        </w:rPr>
      </w:r>
    </w:p>
    <w:p>
      <w:pPr>
        <w:pStyle w:val="BlockText"/>
        <w:spacing w:before="0" w:after="240"/>
        <w:ind w:left="0" w:right="-2" w:hanging="0"/>
        <w:jc w:val="both"/>
        <w:rPr>
          <w:rFonts w:ascii="Arial Narrow" w:hAnsi="Arial Narrow"/>
          <w:szCs w:val="22"/>
        </w:rPr>
      </w:pPr>
      <w:r>
        <w:rPr>
          <w:rFonts w:ascii="Arial Narrow" w:hAnsi="Arial Narrow"/>
          <w:szCs w:val="22"/>
        </w:rPr>
        <w:t>§ 1. Określa się roczną wysokość stawek podatku od nieruchomości:</w:t>
      </w:r>
    </w:p>
    <w:p>
      <w:pPr>
        <w:pStyle w:val="Normal"/>
        <w:spacing w:before="120" w:after="0"/>
        <w:jc w:val="both"/>
        <w:rPr>
          <w:rFonts w:ascii="Arial Narrow" w:hAnsi="Arial Narrow"/>
          <w:sz w:val="22"/>
          <w:szCs w:val="22"/>
          <w:u w:val="single"/>
        </w:rPr>
      </w:pPr>
      <w:r>
        <w:rPr>
          <w:rFonts w:ascii="Arial Narrow" w:hAnsi="Arial Narrow"/>
          <w:sz w:val="22"/>
          <w:szCs w:val="22"/>
        </w:rPr>
        <w:t>1) od gruntów:</w:t>
      </w:r>
    </w:p>
    <w:p>
      <w:pPr>
        <w:pStyle w:val="Normal"/>
        <w:spacing w:before="120" w:after="0"/>
        <w:ind w:left="709" w:hanging="709"/>
        <w:jc w:val="both"/>
        <w:rPr>
          <w:rFonts w:ascii="Arial Narrow" w:hAnsi="Arial Narrow"/>
          <w:sz w:val="22"/>
          <w:szCs w:val="22"/>
        </w:rPr>
      </w:pPr>
      <w:r>
        <w:rPr>
          <w:rFonts w:ascii="Arial Narrow" w:hAnsi="Arial Narrow"/>
          <w:sz w:val="22"/>
          <w:szCs w:val="22"/>
        </w:rPr>
        <w:t xml:space="preserve">   </w:t>
      </w:r>
      <w:r>
        <w:rPr>
          <w:rFonts w:ascii="Arial Narrow" w:hAnsi="Arial Narrow"/>
          <w:sz w:val="22"/>
          <w:szCs w:val="22"/>
        </w:rPr>
        <w:t xml:space="preserve">a) związanych z prowadzeniem działalności gospodarczej, bez względu na sposób zakwalifikowania w ewidencji gruntów i budynków – 0,89 zł od 1 m² powierzchni, </w:t>
      </w:r>
    </w:p>
    <w:p>
      <w:pPr>
        <w:pStyle w:val="Normal"/>
        <w:spacing w:before="120" w:after="0"/>
        <w:ind w:left="709" w:hanging="709"/>
        <w:jc w:val="both"/>
        <w:rPr>
          <w:rFonts w:ascii="Arial Narrow" w:hAnsi="Arial Narrow"/>
          <w:sz w:val="22"/>
          <w:szCs w:val="22"/>
          <w:u w:val="single"/>
        </w:rPr>
      </w:pPr>
      <w:r>
        <w:rPr>
          <w:rFonts w:ascii="Arial Narrow" w:hAnsi="Arial Narrow"/>
          <w:sz w:val="22"/>
          <w:szCs w:val="22"/>
        </w:rPr>
        <w:t xml:space="preserve">   </w:t>
      </w:r>
      <w:r>
        <w:rPr>
          <w:rFonts w:ascii="Arial Narrow" w:hAnsi="Arial Narrow"/>
          <w:sz w:val="22"/>
          <w:szCs w:val="22"/>
        </w:rPr>
        <w:t xml:space="preserve">b)  pod wodami powierzchniowymi stojącymi lub wodami powierzchniowymi płynącymi jezior i zbiorników sztucznych– 4,54 zł od 1 ha powierzchni, </w:t>
      </w:r>
    </w:p>
    <w:p>
      <w:pPr>
        <w:pStyle w:val="Normal"/>
        <w:spacing w:before="120" w:after="0"/>
        <w:ind w:left="709" w:hanging="709"/>
        <w:jc w:val="both"/>
        <w:rPr>
          <w:rFonts w:ascii="Arial Narrow" w:hAnsi="Arial Narrow"/>
          <w:sz w:val="22"/>
          <w:szCs w:val="22"/>
        </w:rPr>
      </w:pPr>
      <w:r>
        <w:rPr>
          <w:rFonts w:ascii="Arial Narrow" w:hAnsi="Arial Narrow"/>
          <w:sz w:val="22"/>
          <w:szCs w:val="22"/>
        </w:rPr>
        <w:t xml:space="preserve">   </w:t>
      </w:r>
      <w:r>
        <w:rPr>
          <w:rFonts w:ascii="Arial Narrow" w:hAnsi="Arial Narrow"/>
          <w:sz w:val="22"/>
          <w:szCs w:val="22"/>
        </w:rPr>
        <w:t>c)  pozostałych, w tym zajętych na prowadzenie odpłatnej statutowej działalności pożytku publicznego przez organizacje pożytku publicznego – 0,38 zł od 1 m</w:t>
      </w:r>
      <w:r>
        <w:rPr>
          <w:rFonts w:ascii="Arial Narrow" w:hAnsi="Arial Narrow"/>
          <w:sz w:val="22"/>
          <w:szCs w:val="22"/>
          <w:vertAlign w:val="superscript"/>
        </w:rPr>
        <w:t>2</w:t>
      </w:r>
      <w:r>
        <w:rPr>
          <w:rFonts w:ascii="Arial Narrow" w:hAnsi="Arial Narrow"/>
          <w:sz w:val="22"/>
          <w:szCs w:val="22"/>
        </w:rPr>
        <w:t xml:space="preserve"> powierzchni, </w:t>
      </w:r>
    </w:p>
    <w:p>
      <w:pPr>
        <w:pStyle w:val="Normal"/>
        <w:spacing w:before="120" w:after="0"/>
        <w:ind w:left="709" w:hanging="709"/>
        <w:jc w:val="both"/>
        <w:rPr>
          <w:rFonts w:ascii="Arial Narrow" w:hAnsi="Arial Narrow"/>
          <w:sz w:val="22"/>
          <w:szCs w:val="22"/>
        </w:rPr>
      </w:pPr>
      <w:r>
        <w:rPr>
          <w:rFonts w:ascii="Arial Narrow" w:hAnsi="Arial Narrow"/>
          <w:sz w:val="22"/>
          <w:szCs w:val="22"/>
        </w:rPr>
        <w:t xml:space="preserve">   </w:t>
      </w:r>
      <w:r>
        <w:rPr>
          <w:rFonts w:ascii="Arial Narrow" w:hAnsi="Arial Narrow"/>
          <w:sz w:val="22"/>
          <w:szCs w:val="22"/>
        </w:rPr>
        <w:t>d)   niezabudowanych objętych obszarem rewitalizacji, o którym mowa w ustawie z dnia 9 października 2015 r. o rewitalizacji (Dz. U. 2017r. poz. 1023 z późn. zm.) i położonych na terenach, dla których miejscowy plan zagospodarowania przestrzennego przewiduje przeznaczenie pod zabudowę mieszkaniową, usługową albo zabudowę o przeznaczeniu mieszanym obejmującym wyłącznie te rodzaje zabudowy, jeżeli od dnia wejścia w życie tego planu w odniesieniu do tych gruntów upłynął okres 4 lat, a w tym czasie nie zakończono budowy zgodnie z przepisami prawa budowlanego – 2,98 zł od 1 m</w:t>
      </w:r>
      <w:r>
        <w:rPr>
          <w:rFonts w:ascii="Arial Narrow" w:hAnsi="Arial Narrow"/>
          <w:sz w:val="22"/>
          <w:szCs w:val="22"/>
          <w:vertAlign w:val="superscript"/>
        </w:rPr>
        <w:t>2</w:t>
      </w:r>
      <w:r>
        <w:rPr>
          <w:rFonts w:ascii="Arial Narrow" w:hAnsi="Arial Narrow"/>
          <w:sz w:val="22"/>
          <w:szCs w:val="22"/>
        </w:rPr>
        <w:t xml:space="preserve"> powierzchni, </w:t>
      </w:r>
    </w:p>
    <w:p>
      <w:pPr>
        <w:pStyle w:val="BlockText"/>
        <w:ind w:left="0" w:right="-2" w:hanging="0"/>
        <w:jc w:val="both"/>
        <w:rPr>
          <w:rFonts w:ascii="Arial Narrow" w:hAnsi="Arial Narrow"/>
          <w:sz w:val="8"/>
          <w:szCs w:val="8"/>
        </w:rPr>
      </w:pPr>
      <w:r>
        <w:rPr>
          <w:rFonts w:ascii="Arial Narrow" w:hAnsi="Arial Narrow"/>
          <w:sz w:val="8"/>
          <w:szCs w:val="8"/>
        </w:rPr>
      </w:r>
    </w:p>
    <w:p>
      <w:pPr>
        <w:pStyle w:val="BlockText"/>
        <w:ind w:left="0" w:right="-2" w:hanging="0"/>
        <w:jc w:val="both"/>
        <w:rPr>
          <w:rFonts w:ascii="Arial Narrow" w:hAnsi="Arial Narrow"/>
          <w:szCs w:val="22"/>
        </w:rPr>
      </w:pPr>
      <w:r>
        <w:rPr>
          <w:rFonts w:ascii="Arial Narrow" w:hAnsi="Arial Narrow"/>
          <w:szCs w:val="22"/>
        </w:rPr>
        <w:t>2) od budynków lub ich części:</w:t>
      </w:r>
    </w:p>
    <w:p>
      <w:pPr>
        <w:pStyle w:val="Normal"/>
        <w:numPr>
          <w:ilvl w:val="0"/>
          <w:numId w:val="19"/>
        </w:numPr>
        <w:tabs>
          <w:tab w:val="clear" w:pos="708"/>
          <w:tab w:val="left" w:pos="567" w:leader="none"/>
        </w:tabs>
        <w:spacing w:before="120" w:after="0"/>
        <w:ind w:left="720" w:hanging="578"/>
        <w:jc w:val="both"/>
        <w:rPr>
          <w:rFonts w:ascii="Arial Narrow" w:hAnsi="Arial Narrow"/>
          <w:sz w:val="22"/>
          <w:szCs w:val="22"/>
        </w:rPr>
      </w:pPr>
      <w:r>
        <w:rPr>
          <w:rFonts w:ascii="Arial Narrow" w:hAnsi="Arial Narrow"/>
          <w:sz w:val="22"/>
          <w:szCs w:val="22"/>
        </w:rPr>
        <w:t xml:space="preserve">mieszkalnych – 0,74 zł od 1 m² powierzchni użytkowej, </w:t>
      </w:r>
    </w:p>
    <w:p>
      <w:pPr>
        <w:pStyle w:val="Normal"/>
        <w:numPr>
          <w:ilvl w:val="0"/>
          <w:numId w:val="12"/>
        </w:numPr>
        <w:tabs>
          <w:tab w:val="clear" w:pos="708"/>
          <w:tab w:val="left" w:pos="567" w:leader="none"/>
        </w:tabs>
        <w:spacing w:before="120" w:after="0"/>
        <w:ind w:left="720" w:hanging="578"/>
        <w:jc w:val="both"/>
        <w:rPr>
          <w:rFonts w:ascii="Arial Narrow" w:hAnsi="Arial Narrow"/>
          <w:sz w:val="22"/>
          <w:szCs w:val="22"/>
        </w:rPr>
      </w:pPr>
      <w:r>
        <w:rPr>
          <w:rFonts w:ascii="Arial Narrow" w:hAnsi="Arial Narrow"/>
          <w:sz w:val="22"/>
          <w:szCs w:val="22"/>
        </w:rPr>
        <w:t xml:space="preserve">związanych z prowadzeniem działalności gospodarczej oraz od budynków  mieszkalnych  lub  ich  części  zajętych  na  prowadzenie  działalności  gospodarczej – 22,66 zł od  1 m² powierzchni użytkowej, </w:t>
      </w:r>
    </w:p>
    <w:p>
      <w:pPr>
        <w:pStyle w:val="Normal"/>
        <w:numPr>
          <w:ilvl w:val="0"/>
          <w:numId w:val="12"/>
        </w:numPr>
        <w:tabs>
          <w:tab w:val="clear" w:pos="708"/>
          <w:tab w:val="left" w:pos="567" w:leader="none"/>
        </w:tabs>
        <w:spacing w:before="120" w:after="0"/>
        <w:ind w:left="720" w:hanging="578"/>
        <w:jc w:val="both"/>
        <w:rPr>
          <w:rFonts w:ascii="Arial Narrow" w:hAnsi="Arial Narrow"/>
          <w:sz w:val="22"/>
          <w:szCs w:val="22"/>
        </w:rPr>
      </w:pPr>
      <w:r>
        <w:rPr>
          <w:rFonts w:ascii="Arial Narrow" w:hAnsi="Arial Narrow"/>
          <w:sz w:val="22"/>
          <w:szCs w:val="22"/>
        </w:rPr>
        <w:t xml:space="preserve">zajętych na prowadzenie działalności gospodarczej w zakresie obrotu kwalifikowanym materiałem siewnym –10,59 zł od 1 m² powierzchni użytkowej, </w:t>
      </w:r>
    </w:p>
    <w:p>
      <w:pPr>
        <w:pStyle w:val="Normal"/>
        <w:numPr>
          <w:ilvl w:val="0"/>
          <w:numId w:val="12"/>
        </w:numPr>
        <w:tabs>
          <w:tab w:val="clear" w:pos="708"/>
          <w:tab w:val="left" w:pos="567" w:leader="none"/>
        </w:tabs>
        <w:spacing w:before="120" w:after="0"/>
        <w:ind w:left="720" w:hanging="578"/>
        <w:jc w:val="both"/>
        <w:rPr>
          <w:rFonts w:ascii="Arial Narrow" w:hAnsi="Arial Narrow"/>
          <w:sz w:val="22"/>
          <w:szCs w:val="22"/>
        </w:rPr>
      </w:pPr>
      <w:r>
        <w:rPr>
          <w:rFonts w:ascii="Arial Narrow" w:hAnsi="Arial Narrow"/>
          <w:sz w:val="22"/>
          <w:szCs w:val="22"/>
        </w:rPr>
        <w:t>związanych z udzielaniem świadczeń zdrowotnych w rozumieniu przepisów o działalności leczniczej, zajętych przez podmioty udzielające tych świadczeń – 4,61 zł od 1 m</w:t>
      </w:r>
      <w:r>
        <w:rPr>
          <w:rFonts w:ascii="Arial Narrow" w:hAnsi="Arial Narrow"/>
          <w:sz w:val="22"/>
          <w:szCs w:val="22"/>
          <w:vertAlign w:val="superscript"/>
        </w:rPr>
        <w:t>2</w:t>
      </w:r>
      <w:r>
        <w:rPr>
          <w:rFonts w:ascii="Arial Narrow" w:hAnsi="Arial Narrow"/>
          <w:sz w:val="22"/>
          <w:szCs w:val="22"/>
        </w:rPr>
        <w:t xml:space="preserve"> powierzchni użytkowej, </w:t>
      </w:r>
    </w:p>
    <w:p>
      <w:pPr>
        <w:pStyle w:val="Normal"/>
        <w:numPr>
          <w:ilvl w:val="0"/>
          <w:numId w:val="12"/>
        </w:numPr>
        <w:tabs>
          <w:tab w:val="clear" w:pos="708"/>
          <w:tab w:val="left" w:pos="567" w:leader="none"/>
        </w:tabs>
        <w:spacing w:before="120" w:after="0"/>
        <w:ind w:left="720" w:hanging="578"/>
        <w:jc w:val="both"/>
        <w:rPr>
          <w:rFonts w:ascii="Arial Narrow" w:hAnsi="Arial Narrow"/>
          <w:sz w:val="22"/>
          <w:szCs w:val="22"/>
        </w:rPr>
      </w:pPr>
      <w:r>
        <w:rPr>
          <w:rFonts w:ascii="Arial Narrow" w:hAnsi="Arial Narrow"/>
          <w:sz w:val="22"/>
          <w:szCs w:val="22"/>
        </w:rPr>
        <w:t>pozostałych, w tym zajętych na prowadzenie odpłatnej statutowej działalności pożytku publicznego przez organizacje pożytku publicznego – 5,70 zł od 1 m</w:t>
      </w:r>
      <w:r>
        <w:rPr>
          <w:rFonts w:ascii="Arial Narrow" w:hAnsi="Arial Narrow"/>
          <w:sz w:val="22"/>
          <w:szCs w:val="22"/>
          <w:vertAlign w:val="superscript"/>
        </w:rPr>
        <w:t>2</w:t>
      </w:r>
      <w:r>
        <w:rPr>
          <w:rFonts w:ascii="Arial Narrow" w:hAnsi="Arial Narrow"/>
          <w:sz w:val="22"/>
          <w:szCs w:val="22"/>
        </w:rPr>
        <w:t xml:space="preserve"> powierzchni użytkowej, </w:t>
      </w:r>
    </w:p>
    <w:p>
      <w:pPr>
        <w:pStyle w:val="Normal"/>
        <w:spacing w:before="120" w:after="0"/>
        <w:ind w:left="426" w:hanging="426"/>
        <w:jc w:val="both"/>
        <w:rPr>
          <w:rFonts w:ascii="Arial Narrow" w:hAnsi="Arial Narrow"/>
          <w:sz w:val="22"/>
          <w:szCs w:val="22"/>
        </w:rPr>
      </w:pPr>
      <w:r>
        <w:rPr>
          <w:rFonts w:ascii="Arial Narrow" w:hAnsi="Arial Narrow"/>
          <w:sz w:val="22"/>
          <w:szCs w:val="22"/>
        </w:rPr>
        <w:t>3) od  budowli – 2% ich  wartości  określonej  na  podstawie art. 4  ust. 1 pkt 3 i ust. 3-7 ustawy o podatkach i opłatach lokalnych.</w:t>
      </w:r>
    </w:p>
    <w:p>
      <w:pPr>
        <w:pStyle w:val="Normal"/>
        <w:jc w:val="both"/>
        <w:rPr>
          <w:rFonts w:ascii="Arial Narrow" w:hAnsi="Arial Narrow"/>
          <w:sz w:val="8"/>
          <w:szCs w:val="8"/>
        </w:rPr>
      </w:pPr>
      <w:r>
        <w:rPr>
          <w:rFonts w:ascii="Arial Narrow" w:hAnsi="Arial Narrow"/>
          <w:sz w:val="8"/>
          <w:szCs w:val="8"/>
        </w:rPr>
        <w:t xml:space="preserve">                                                             </w:t>
      </w:r>
    </w:p>
    <w:p>
      <w:pPr>
        <w:pStyle w:val="Normal"/>
        <w:ind w:left="-142" w:hanging="0"/>
        <w:jc w:val="both"/>
        <w:rPr>
          <w:rFonts w:ascii="Arial Narrow" w:hAnsi="Arial Narrow"/>
          <w:sz w:val="22"/>
          <w:szCs w:val="22"/>
        </w:rPr>
      </w:pPr>
      <w:r>
        <w:rPr>
          <w:rFonts w:ascii="Arial Narrow" w:hAnsi="Arial Narrow"/>
          <w:sz w:val="22"/>
          <w:szCs w:val="22"/>
        </w:rPr>
        <w:t>§ 2.  1.  Zwalnia się od podatku od nieruchomości :</w:t>
      </w:r>
    </w:p>
    <w:p>
      <w:pPr>
        <w:pStyle w:val="ListParagraph"/>
        <w:numPr>
          <w:ilvl w:val="0"/>
          <w:numId w:val="13"/>
        </w:numPr>
        <w:ind w:left="993" w:hanging="360"/>
        <w:jc w:val="both"/>
        <w:rPr>
          <w:rFonts w:ascii="Arial Narrow" w:hAnsi="Arial Narrow"/>
          <w:sz w:val="22"/>
          <w:szCs w:val="22"/>
        </w:rPr>
      </w:pPr>
      <w:r>
        <w:rPr>
          <w:rFonts w:ascii="Arial Narrow" w:hAnsi="Arial Narrow"/>
          <w:sz w:val="22"/>
          <w:szCs w:val="22"/>
        </w:rPr>
        <w:t>grunty, budynki lub ich części zajęte na cele związane z ochroną przeciwpożarową,</w:t>
      </w:r>
    </w:p>
    <w:p>
      <w:pPr>
        <w:pStyle w:val="ListParagraph"/>
        <w:numPr>
          <w:ilvl w:val="0"/>
          <w:numId w:val="13"/>
        </w:numPr>
        <w:ind w:left="993" w:hanging="360"/>
        <w:jc w:val="both"/>
        <w:rPr>
          <w:rFonts w:ascii="Arial Narrow" w:hAnsi="Arial Narrow"/>
          <w:sz w:val="22"/>
          <w:szCs w:val="22"/>
        </w:rPr>
      </w:pPr>
      <w:r>
        <w:rPr>
          <w:rFonts w:ascii="Arial Narrow" w:hAnsi="Arial Narrow"/>
          <w:sz w:val="22"/>
          <w:szCs w:val="22"/>
        </w:rPr>
        <w:t>grunty, budynki lub ich części zajęte na prowadzenie działalności w zakresie ochrony bezpieczeństwa i porządku publicznego,</w:t>
      </w:r>
    </w:p>
    <w:p>
      <w:pPr>
        <w:pStyle w:val="ListParagraph"/>
        <w:numPr>
          <w:ilvl w:val="0"/>
          <w:numId w:val="13"/>
        </w:numPr>
        <w:ind w:left="993" w:hanging="360"/>
        <w:jc w:val="both"/>
        <w:rPr>
          <w:rFonts w:ascii="Arial Narrow" w:hAnsi="Arial Narrow"/>
          <w:sz w:val="22"/>
          <w:szCs w:val="22"/>
        </w:rPr>
      </w:pPr>
      <w:r>
        <w:rPr>
          <w:rFonts w:ascii="Arial Narrow" w:hAnsi="Arial Narrow"/>
          <w:sz w:val="22"/>
          <w:szCs w:val="22"/>
        </w:rPr>
        <w:t>grunty, budynki lub ich części zajęte na prowadzenie działalności w zakresie kultury, kultury fizycznej i sportu,</w:t>
      </w:r>
    </w:p>
    <w:p>
      <w:pPr>
        <w:pStyle w:val="ListParagraph"/>
        <w:numPr>
          <w:ilvl w:val="0"/>
          <w:numId w:val="13"/>
        </w:numPr>
        <w:ind w:left="993" w:hanging="360"/>
        <w:jc w:val="both"/>
        <w:rPr>
          <w:rFonts w:ascii="Arial Narrow" w:hAnsi="Arial Narrow"/>
          <w:sz w:val="22"/>
          <w:szCs w:val="22"/>
        </w:rPr>
      </w:pPr>
      <w:r>
        <w:rPr>
          <w:rFonts w:ascii="Arial Narrow" w:hAnsi="Arial Narrow"/>
          <w:sz w:val="22"/>
          <w:szCs w:val="22"/>
        </w:rPr>
        <w:t>grunty, budynki lub ich części, budowle związane z działalnością w zakresie zbiorowego zaopatrzenia w wodę,</w:t>
      </w:r>
    </w:p>
    <w:p>
      <w:pPr>
        <w:pStyle w:val="ListParagraph"/>
        <w:numPr>
          <w:ilvl w:val="0"/>
          <w:numId w:val="13"/>
        </w:numPr>
        <w:ind w:left="993" w:hanging="360"/>
        <w:jc w:val="both"/>
        <w:rPr>
          <w:rFonts w:ascii="Arial Narrow" w:hAnsi="Arial Narrow"/>
          <w:sz w:val="22"/>
          <w:szCs w:val="22"/>
        </w:rPr>
      </w:pPr>
      <w:r>
        <w:rPr>
          <w:rFonts w:ascii="Arial Narrow" w:hAnsi="Arial Narrow"/>
          <w:sz w:val="22"/>
          <w:szCs w:val="22"/>
        </w:rPr>
        <w:t>grunty, budynki lub ich części, budowle, związane z działalnością w zakresie zbiorowego odprowadzania ścieków.</w:t>
      </w:r>
    </w:p>
    <w:p>
      <w:pPr>
        <w:pStyle w:val="Normal"/>
        <w:spacing w:before="0" w:after="240"/>
        <w:ind w:left="709" w:hanging="709"/>
        <w:jc w:val="both"/>
        <w:rPr>
          <w:rFonts w:ascii="Arial Narrow" w:hAnsi="Arial Narrow"/>
          <w:sz w:val="22"/>
          <w:szCs w:val="22"/>
        </w:rPr>
      </w:pPr>
      <w:r>
        <w:rPr>
          <w:rFonts w:ascii="Arial Narrow" w:hAnsi="Arial Narrow"/>
          <w:sz w:val="22"/>
          <w:szCs w:val="22"/>
        </w:rPr>
        <w:t xml:space="preserve">     </w:t>
      </w:r>
      <w:r>
        <w:rPr>
          <w:rFonts w:ascii="Arial Narrow" w:hAnsi="Arial Narrow"/>
          <w:sz w:val="22"/>
          <w:szCs w:val="22"/>
        </w:rPr>
        <w:t xml:space="preserve">2. Zwolnienia, o których mowa w ust. 1 pkt 1-3 nie obejmują budynków lub ich części i gruntów związanych z prowadzeniem działalności gospodarczej. </w:t>
      </w:r>
    </w:p>
    <w:p>
      <w:pPr>
        <w:pStyle w:val="Normal"/>
        <w:jc w:val="both"/>
        <w:rPr>
          <w:rFonts w:ascii="Arial Narrow" w:hAnsi="Arial Narrow"/>
          <w:sz w:val="22"/>
        </w:rPr>
      </w:pPr>
      <w:r>
        <w:rPr>
          <w:rFonts w:ascii="Arial Narrow" w:hAnsi="Arial Narrow"/>
          <w:sz w:val="22"/>
        </w:rPr>
        <w:t xml:space="preserve">Wysokość podatku od gruntów rolnych przyjęto w wysokości przyjętej przez Radę Gminy Jaktorów tj. </w:t>
      </w:r>
      <w:r>
        <w:rPr>
          <w:rFonts w:ascii="Arial Narrow" w:hAnsi="Arial Narrow"/>
          <w:b/>
          <w:sz w:val="22"/>
        </w:rPr>
        <w:t>271,80zł</w:t>
      </w:r>
      <w:r>
        <w:rPr>
          <w:rFonts w:ascii="Arial Narrow" w:hAnsi="Arial Narrow"/>
          <w:sz w:val="22"/>
        </w:rPr>
        <w:t xml:space="preserve"> z 1ha fizycznego (stawka dla gruntów rolnych nie będących gospodarstwami rolnymi) oraz dla gospodarstw rolnych </w:t>
      </w:r>
      <w:r>
        <w:rPr>
          <w:rFonts w:ascii="Arial Narrow" w:hAnsi="Arial Narrow"/>
          <w:b/>
          <w:sz w:val="22"/>
        </w:rPr>
        <w:t>135,90zł</w:t>
      </w:r>
      <w:r>
        <w:rPr>
          <w:rFonts w:ascii="Arial Narrow" w:hAnsi="Arial Narrow"/>
          <w:sz w:val="22"/>
        </w:rPr>
        <w:t xml:space="preserve"> z hektara przeliczeniowego.</w:t>
      </w:r>
    </w:p>
    <w:p>
      <w:pPr>
        <w:pStyle w:val="ListParagraph"/>
        <w:numPr>
          <w:ilvl w:val="0"/>
          <w:numId w:val="14"/>
        </w:numPr>
        <w:jc w:val="both"/>
        <w:rPr>
          <w:rFonts w:ascii="Arial Narrow" w:hAnsi="Arial Narrow"/>
          <w:b/>
          <w:b/>
          <w:sz w:val="22"/>
        </w:rPr>
      </w:pPr>
      <w:r>
        <w:rPr>
          <w:rFonts w:ascii="Arial Narrow" w:hAnsi="Arial Narrow"/>
          <w:b/>
          <w:sz w:val="22"/>
        </w:rPr>
        <w:t>Podstawa do określania kosztów związanych z wykupem gruntów przeznaczonych pod drogi publiczne</w:t>
      </w:r>
    </w:p>
    <w:p>
      <w:pPr>
        <w:pStyle w:val="ListParagraph"/>
        <w:ind w:left="360" w:hanging="0"/>
        <w:jc w:val="both"/>
        <w:rPr>
          <w:rFonts w:ascii="Arial Narrow" w:hAnsi="Arial Narrow"/>
          <w:sz w:val="16"/>
          <w:szCs w:val="16"/>
        </w:rPr>
      </w:pPr>
      <w:r>
        <w:rPr>
          <w:rFonts w:ascii="Arial Narrow" w:hAnsi="Arial Narrow"/>
          <w:sz w:val="16"/>
          <w:szCs w:val="16"/>
        </w:rPr>
      </w:r>
    </w:p>
    <w:p>
      <w:pPr>
        <w:pStyle w:val="ListParagraph"/>
        <w:ind w:left="360" w:hanging="0"/>
        <w:jc w:val="both"/>
        <w:rPr>
          <w:rFonts w:ascii="Arial Narrow" w:hAnsi="Arial Narrow"/>
          <w:sz w:val="22"/>
        </w:rPr>
      </w:pPr>
      <w:r>
        <w:rPr>
          <w:rFonts w:ascii="Arial Narrow" w:hAnsi="Arial Narrow"/>
          <w:sz w:val="22"/>
        </w:rPr>
        <w:t>Przyjęto na podstawie projektu planu zagospodarowania przestrzennego oraz informacji uzyskanych od Zleceniodawcy.</w:t>
      </w:r>
    </w:p>
    <w:p>
      <w:pPr>
        <w:pStyle w:val="ListParagraph"/>
        <w:ind w:left="360" w:hanging="0"/>
        <w:jc w:val="both"/>
        <w:rPr>
          <w:rFonts w:ascii="Arial Narrow" w:hAnsi="Arial Narrow"/>
          <w:sz w:val="22"/>
        </w:rPr>
      </w:pPr>
      <w:r>
        <w:rPr>
          <w:rFonts w:ascii="Arial Narrow" w:hAnsi="Arial Narrow"/>
          <w:sz w:val="22"/>
        </w:rPr>
      </w:r>
    </w:p>
    <w:p>
      <w:pPr>
        <w:pStyle w:val="ListParagraph"/>
        <w:numPr>
          <w:ilvl w:val="0"/>
          <w:numId w:val="10"/>
        </w:numPr>
        <w:jc w:val="both"/>
        <w:rPr>
          <w:rFonts w:ascii="Arial Narrow" w:hAnsi="Arial Narrow"/>
          <w:b/>
          <w:b/>
          <w:sz w:val="22"/>
        </w:rPr>
      </w:pPr>
      <w:r>
        <w:rPr>
          <w:rFonts w:ascii="Arial Narrow" w:hAnsi="Arial Narrow"/>
          <w:b/>
          <w:sz w:val="22"/>
        </w:rPr>
        <w:t>Podstawa do określania kosztów związanych z budową infrastruktury technicznej w ramach zadań własnych gminy</w:t>
      </w:r>
    </w:p>
    <w:p>
      <w:pPr>
        <w:pStyle w:val="ListParagraph"/>
        <w:ind w:left="360" w:hanging="0"/>
        <w:jc w:val="both"/>
        <w:rPr>
          <w:rFonts w:ascii="Arial Narrow" w:hAnsi="Arial Narrow"/>
          <w:sz w:val="16"/>
          <w:szCs w:val="16"/>
        </w:rPr>
      </w:pPr>
      <w:r>
        <w:rPr>
          <w:rFonts w:ascii="Arial Narrow" w:hAnsi="Arial Narrow"/>
          <w:sz w:val="16"/>
          <w:szCs w:val="16"/>
        </w:rPr>
      </w:r>
    </w:p>
    <w:p>
      <w:pPr>
        <w:pStyle w:val="ListParagraph"/>
        <w:ind w:left="360" w:hanging="0"/>
        <w:jc w:val="both"/>
        <w:rPr>
          <w:rFonts w:ascii="Arial Narrow" w:hAnsi="Arial Narrow"/>
          <w:sz w:val="22"/>
        </w:rPr>
      </w:pPr>
      <w:r>
        <w:rPr>
          <w:rFonts w:ascii="Arial Narrow" w:hAnsi="Arial Narrow"/>
          <w:sz w:val="22"/>
        </w:rPr>
        <w:t>Przyjęto na podstawie informacji uzyskanych od Zleceniodawcy.</w:t>
      </w:r>
    </w:p>
    <w:p>
      <w:pPr>
        <w:pStyle w:val="ListParagraph"/>
        <w:ind w:left="360" w:hanging="0"/>
        <w:jc w:val="both"/>
        <w:rPr>
          <w:rFonts w:ascii="Arial Narrow" w:hAnsi="Arial Narrow"/>
          <w:sz w:val="22"/>
        </w:rPr>
      </w:pPr>
      <w:r>
        <w:rPr>
          <w:rFonts w:ascii="Arial Narrow" w:hAnsi="Arial Narrow"/>
          <w:sz w:val="22"/>
        </w:rPr>
      </w:r>
    </w:p>
    <w:p>
      <w:pPr>
        <w:pStyle w:val="ListParagraph"/>
        <w:numPr>
          <w:ilvl w:val="0"/>
          <w:numId w:val="10"/>
        </w:numPr>
        <w:jc w:val="both"/>
        <w:rPr>
          <w:rFonts w:ascii="Arial Narrow" w:hAnsi="Arial Narrow"/>
          <w:b/>
          <w:b/>
          <w:sz w:val="22"/>
        </w:rPr>
      </w:pPr>
      <w:r>
        <w:rPr>
          <w:rFonts w:ascii="Arial Narrow" w:hAnsi="Arial Narrow"/>
          <w:b/>
          <w:sz w:val="22"/>
        </w:rPr>
        <w:t>Podstawa do określania kosztów związanych z wykonaniem planu zagospodarowania przestrzennego</w:t>
      </w:r>
    </w:p>
    <w:p>
      <w:pPr>
        <w:pStyle w:val="ListParagraph"/>
        <w:ind w:left="360" w:hanging="0"/>
        <w:jc w:val="both"/>
        <w:rPr>
          <w:rFonts w:ascii="Arial Narrow" w:hAnsi="Arial Narrow"/>
          <w:sz w:val="16"/>
          <w:szCs w:val="16"/>
        </w:rPr>
      </w:pPr>
      <w:r>
        <w:rPr>
          <w:rFonts w:ascii="Arial Narrow" w:hAnsi="Arial Narrow"/>
          <w:sz w:val="16"/>
          <w:szCs w:val="16"/>
        </w:rPr>
      </w:r>
    </w:p>
    <w:p>
      <w:pPr>
        <w:pStyle w:val="ListParagraph"/>
        <w:ind w:left="360" w:hanging="0"/>
        <w:jc w:val="both"/>
        <w:rPr>
          <w:rFonts w:ascii="Arial Narrow" w:hAnsi="Arial Narrow"/>
          <w:sz w:val="22"/>
        </w:rPr>
      </w:pPr>
      <w:r>
        <w:rPr>
          <w:rFonts w:ascii="Arial Narrow" w:hAnsi="Arial Narrow"/>
          <w:sz w:val="22"/>
        </w:rPr>
        <w:t>Przyjęto na podstawie informacji uzyskanych od Zleceniodawcy.</w:t>
      </w:r>
    </w:p>
    <w:p>
      <w:pPr>
        <w:pStyle w:val="ListParagraph"/>
        <w:ind w:left="360" w:hanging="0"/>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numPr>
          <w:ilvl w:val="0"/>
          <w:numId w:val="4"/>
        </w:numPr>
        <w:pBdr>
          <w:top w:val="single" w:sz="4" w:space="1" w:color="000000"/>
          <w:left w:val="single" w:sz="4" w:space="4" w:color="000000"/>
          <w:bottom w:val="single" w:sz="4" w:space="1" w:color="000000"/>
          <w:right w:val="single" w:sz="4" w:space="4" w:color="000000"/>
        </w:pBdr>
        <w:jc w:val="both"/>
        <w:rPr>
          <w:rFonts w:ascii="Arial Narrow" w:hAnsi="Arial Narrow"/>
          <w:b/>
          <w:b/>
          <w:bCs/>
          <w:sz w:val="24"/>
        </w:rPr>
      </w:pPr>
      <w:r>
        <w:rPr>
          <w:rFonts w:ascii="Arial Narrow" w:hAnsi="Arial Narrow"/>
          <w:b/>
          <w:bCs/>
          <w:sz w:val="24"/>
        </w:rPr>
        <w:t>OPIS RYNKU NIERUCHOMOŚCI</w:t>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ListParagraph"/>
        <w:numPr>
          <w:ilvl w:val="1"/>
          <w:numId w:val="4"/>
        </w:numPr>
        <w:rPr>
          <w:rFonts w:ascii="Arial Narrow" w:hAnsi="Arial Narrow"/>
          <w:b/>
          <w:b/>
          <w:bCs/>
          <w:sz w:val="22"/>
        </w:rPr>
      </w:pPr>
      <w:r>
        <w:rPr>
          <w:rFonts w:ascii="Arial Narrow" w:hAnsi="Arial Narrow"/>
          <w:b/>
          <w:bCs/>
          <w:sz w:val="22"/>
        </w:rPr>
        <w:t>Obszar lokalnego rynku nieruchomości</w:t>
      </w:r>
    </w:p>
    <w:p>
      <w:pPr>
        <w:pStyle w:val="Normal"/>
        <w:jc w:val="both"/>
        <w:rPr>
          <w:rFonts w:ascii="Arial Narrow" w:hAnsi="Arial Narrow"/>
          <w:sz w:val="16"/>
          <w:szCs w:val="16"/>
        </w:rPr>
      </w:pPr>
      <w:r>
        <w:rPr>
          <w:rFonts w:ascii="Arial Narrow" w:hAnsi="Arial Narrow"/>
          <w:sz w:val="16"/>
          <w:szCs w:val="16"/>
        </w:rPr>
      </w:r>
    </w:p>
    <w:p>
      <w:pPr>
        <w:pStyle w:val="Normal"/>
        <w:jc w:val="both"/>
        <w:rPr>
          <w:rFonts w:ascii="Arial Narrow" w:hAnsi="Arial Narrow"/>
          <w:sz w:val="22"/>
          <w:szCs w:val="22"/>
        </w:rPr>
      </w:pPr>
      <w:r>
        <w:rPr>
          <w:rFonts w:ascii="Arial Narrow" w:hAnsi="Arial Narrow"/>
          <w:sz w:val="22"/>
          <w:szCs w:val="22"/>
        </w:rPr>
        <w:t>Przyjęto rozpatrywany lokalny rynek nieruchomości ograniczony do północno-wschodniej części gminy Jaktorów.</w:t>
      </w:r>
    </w:p>
    <w:tbl>
      <w:tblPr>
        <w:tblW w:w="5000" w:type="pct"/>
        <w:jc w:val="left"/>
        <w:tblInd w:w="0" w:type="dxa"/>
        <w:tblLayout w:type="fixed"/>
        <w:tblCellMar>
          <w:top w:w="15" w:type="dxa"/>
          <w:left w:w="15" w:type="dxa"/>
          <w:bottom w:w="15" w:type="dxa"/>
          <w:right w:w="15" w:type="dxa"/>
        </w:tblCellMar>
        <w:tblLook w:firstRow="0" w:noVBand="0" w:lastRow="0" w:firstColumn="0" w:lastColumn="0" w:noHBand="0" w:val="0000"/>
      </w:tblPr>
      <w:tblGrid>
        <w:gridCol w:w="9072"/>
      </w:tblGrid>
      <w:tr>
        <w:trPr/>
        <w:tc>
          <w:tcPr>
            <w:tcW w:w="9072" w:type="dxa"/>
            <w:tcBorders/>
          </w:tcPr>
          <w:p>
            <w:pPr>
              <w:pStyle w:val="Normal"/>
              <w:widowControl w:val="false"/>
              <w:jc w:val="both"/>
              <w:rPr>
                <w:rFonts w:ascii="Arial Narrow" w:hAnsi="Arial Narrow"/>
                <w:bCs/>
                <w:sz w:val="22"/>
              </w:rPr>
            </w:pPr>
            <w:r>
              <w:rPr>
                <w:rFonts w:ascii="Arial Narrow" w:hAnsi="Arial Narrow"/>
                <w:bCs/>
                <w:sz w:val="22"/>
              </w:rPr>
              <w:t xml:space="preserve">Teren objęty planem znajduje się we wsi Bieganów, w gminie Jaktorów, w powiecie grodziskim i w województwie mazowieckim. Pod względem fizycznogeograficznym opisywany obszar leży w południowo-wschodniej części mezoregionu Równiny Łowicko-Błońskiej, w makroregionie Niziny Środkowomazowieckiej (według podziału J. Kondrackiego). </w:t>
            </w:r>
          </w:p>
          <w:p>
            <w:pPr>
              <w:pStyle w:val="Normal"/>
              <w:widowControl w:val="false"/>
              <w:jc w:val="both"/>
              <w:rPr>
                <w:rFonts w:ascii="Arial Narrow" w:hAnsi="Arial Narrow"/>
                <w:bCs/>
                <w:sz w:val="16"/>
                <w:szCs w:val="16"/>
              </w:rPr>
            </w:pPr>
            <w:r>
              <w:rPr>
                <w:rFonts w:ascii="Arial Narrow" w:hAnsi="Arial Narrow"/>
                <w:bCs/>
                <w:sz w:val="16"/>
                <w:szCs w:val="16"/>
              </w:rPr>
            </w:r>
          </w:p>
          <w:p>
            <w:pPr>
              <w:pStyle w:val="Normal"/>
              <w:widowControl w:val="false"/>
              <w:jc w:val="both"/>
              <w:rPr>
                <w:rFonts w:ascii="Arial Narrow" w:hAnsi="Arial Narrow"/>
                <w:bCs/>
                <w:sz w:val="22"/>
              </w:rPr>
            </w:pPr>
            <w:r>
              <w:rPr>
                <w:rFonts w:ascii="Arial Narrow" w:hAnsi="Arial Narrow"/>
                <w:bCs/>
                <w:sz w:val="22"/>
              </w:rPr>
              <w:t xml:space="preserve">Gmina Jaktorów leży w odległości ok. 40km od Warszawy. Przecina ją droga wojewódzka nr 719 a także linie kolejowe relacji Skierniewice – Warszawa i Centralnej Magistrali Kolejowej. Liczba mieszkańców gminy systematycznie wzrasta. W 2022 roku liczba mieszkańców zameldowanych na pobyt stały wynosi ok. 10700. Podstawowe funkcje, które spełnia gmina to rolnictwo i mieszkalnictwo. Dzięki korzystnemu położeniu komunikacyjnemu i bliskości aglomeracji warszawskiej gmina stwarza odpowiednie warunki do rozwoju także przemysłu i usług. </w:t>
            </w:r>
          </w:p>
          <w:p>
            <w:pPr>
              <w:pStyle w:val="Normal"/>
              <w:widowControl w:val="false"/>
              <w:jc w:val="both"/>
              <w:rPr>
                <w:rFonts w:ascii="Arial Narrow" w:hAnsi="Arial Narrow"/>
                <w:bCs/>
                <w:sz w:val="22"/>
              </w:rPr>
            </w:pPr>
            <w:r>
              <w:rPr>
                <w:rFonts w:ascii="Arial Narrow" w:hAnsi="Arial Narrow"/>
                <w:bCs/>
                <w:sz w:val="22"/>
              </w:rPr>
            </w:r>
          </w:p>
          <w:p>
            <w:pPr>
              <w:pStyle w:val="Normal"/>
              <w:widowControl w:val="false"/>
              <w:jc w:val="both"/>
              <w:rPr>
                <w:rFonts w:ascii="Arial Narrow" w:hAnsi="Arial Narrow"/>
                <w:bCs/>
                <w:sz w:val="22"/>
              </w:rPr>
            </w:pPr>
            <w:r>
              <w:rPr>
                <w:rFonts w:ascii="Arial Narrow" w:hAnsi="Arial Narrow"/>
                <w:bCs/>
                <w:sz w:val="22"/>
              </w:rPr>
              <w:t>Rozkład użytkowania gruntów gminy Jaktorów przedstawia tabela 1</w:t>
            </w:r>
          </w:p>
          <w:p>
            <w:pPr>
              <w:pStyle w:val="Normal"/>
              <w:widowControl w:val="false"/>
              <w:jc w:val="both"/>
              <w:rPr>
                <w:rFonts w:ascii="Arial Narrow" w:hAnsi="Arial Narrow"/>
                <w:bCs/>
                <w:sz w:val="8"/>
                <w:szCs w:val="8"/>
              </w:rPr>
            </w:pPr>
            <w:r>
              <w:rPr>
                <w:rFonts w:ascii="Arial Narrow" w:hAnsi="Arial Narrow"/>
                <w:bCs/>
                <w:sz w:val="8"/>
                <w:szCs w:val="8"/>
              </w:rPr>
            </w:r>
          </w:p>
          <w:tbl>
            <w:tblPr>
              <w:tblW w:w="9057"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347"/>
              <w:gridCol w:w="4174"/>
              <w:gridCol w:w="2268"/>
              <w:gridCol w:w="2267"/>
            </w:tblGrid>
            <w:tr>
              <w:trPr/>
              <w:tc>
                <w:tcPr>
                  <w:tcW w:w="347" w:type="dxa"/>
                  <w:tcBorders>
                    <w:left w:val="single" w:sz="12" w:space="0" w:color="000000"/>
                    <w:bottom w:val="single" w:sz="6" w:space="0" w:color="000000"/>
                    <w:right w:val="single" w:sz="6" w:space="0" w:color="000000"/>
                  </w:tcBorders>
                  <w:shd w:color="C0C0C0" w:fill="FFFFFF" w:val="pct30"/>
                </w:tcPr>
                <w:p>
                  <w:pPr>
                    <w:pStyle w:val="Normal"/>
                    <w:widowControl w:val="false"/>
                    <w:jc w:val="both"/>
                    <w:rPr>
                      <w:rFonts w:ascii="Arial Narrow" w:hAnsi="Arial Narrow"/>
                      <w:sz w:val="22"/>
                    </w:rPr>
                  </w:pPr>
                  <w:r>
                    <w:rPr>
                      <w:rFonts w:ascii="Arial Narrow" w:hAnsi="Arial Narrow"/>
                      <w:sz w:val="22"/>
                    </w:rPr>
                    <w:t>lp</w:t>
                  </w:r>
                </w:p>
              </w:tc>
              <w:tc>
                <w:tcPr>
                  <w:tcW w:w="4174" w:type="dxa"/>
                  <w:tcBorders>
                    <w:left w:val="single" w:sz="6" w:space="0" w:color="000000"/>
                    <w:bottom w:val="single" w:sz="6" w:space="0" w:color="000000"/>
                    <w:right w:val="single" w:sz="6" w:space="0" w:color="000000"/>
                  </w:tcBorders>
                  <w:shd w:color="C0C0C0" w:fill="FFFFFF" w:val="pct30"/>
                </w:tcPr>
                <w:p>
                  <w:pPr>
                    <w:pStyle w:val="Normal"/>
                    <w:widowControl w:val="false"/>
                    <w:rPr>
                      <w:rFonts w:ascii="Arial Narrow" w:hAnsi="Arial Narrow"/>
                      <w:sz w:val="22"/>
                    </w:rPr>
                  </w:pPr>
                  <w:r>
                    <w:rPr>
                      <w:rFonts w:ascii="Arial Narrow" w:hAnsi="Arial Narrow"/>
                      <w:sz w:val="22"/>
                    </w:rPr>
                    <w:t>Sposób użytkowania</w:t>
                  </w:r>
                </w:p>
              </w:tc>
              <w:tc>
                <w:tcPr>
                  <w:tcW w:w="2268" w:type="dxa"/>
                  <w:tcBorders>
                    <w:left w:val="single" w:sz="6" w:space="0" w:color="000000"/>
                    <w:bottom w:val="single" w:sz="6" w:space="0" w:color="000000"/>
                    <w:right w:val="single" w:sz="6" w:space="0" w:color="000000"/>
                  </w:tcBorders>
                  <w:shd w:color="C0C0C0" w:fill="FFFFFF" w:val="pct30"/>
                </w:tcPr>
                <w:p>
                  <w:pPr>
                    <w:pStyle w:val="Normal"/>
                    <w:widowControl w:val="false"/>
                    <w:rPr>
                      <w:rFonts w:ascii="Arial Narrow" w:hAnsi="Arial Narrow"/>
                      <w:sz w:val="22"/>
                    </w:rPr>
                  </w:pPr>
                  <w:r>
                    <w:rPr>
                      <w:rFonts w:ascii="Arial Narrow" w:hAnsi="Arial Narrow"/>
                      <w:sz w:val="22"/>
                    </w:rPr>
                    <w:t>Procentowy udział w całej powierzchni gminy [%]</w:t>
                  </w:r>
                </w:p>
              </w:tc>
              <w:tc>
                <w:tcPr>
                  <w:tcW w:w="2267" w:type="dxa"/>
                  <w:tcBorders>
                    <w:left w:val="single" w:sz="6" w:space="0" w:color="000000"/>
                    <w:bottom w:val="single" w:sz="6" w:space="0" w:color="000000"/>
                    <w:right w:val="single" w:sz="12" w:space="0" w:color="000000"/>
                  </w:tcBorders>
                  <w:shd w:color="C0C0C0" w:fill="FFFFFF" w:val="pct30"/>
                </w:tcPr>
                <w:p>
                  <w:pPr>
                    <w:pStyle w:val="Normal"/>
                    <w:widowControl w:val="false"/>
                    <w:jc w:val="both"/>
                    <w:rPr>
                      <w:rFonts w:ascii="Arial Narrow" w:hAnsi="Arial Narrow"/>
                      <w:sz w:val="22"/>
                    </w:rPr>
                  </w:pPr>
                  <w:r>
                    <w:rPr>
                      <w:rFonts w:ascii="Arial Narrow" w:hAnsi="Arial Narrow"/>
                      <w:sz w:val="22"/>
                    </w:rPr>
                    <w:t>Powierzchnia [ha]</w:t>
                  </w:r>
                </w:p>
              </w:tc>
            </w:tr>
            <w:tr>
              <w:trPr/>
              <w:tc>
                <w:tcPr>
                  <w:tcW w:w="347" w:type="dxa"/>
                  <w:tcBorders>
                    <w:top w:val="single" w:sz="6" w:space="0" w:color="000000"/>
                    <w:left w:val="single" w:sz="12" w:space="0" w:color="000000"/>
                    <w:bottom w:val="single" w:sz="6" w:space="0" w:color="000000"/>
                    <w:right w:val="single" w:sz="6" w:space="0" w:color="000000"/>
                  </w:tcBorders>
                </w:tcPr>
                <w:p>
                  <w:pPr>
                    <w:pStyle w:val="Normal"/>
                    <w:widowControl w:val="false"/>
                    <w:jc w:val="both"/>
                    <w:rPr>
                      <w:rFonts w:ascii="Arial Narrow" w:hAnsi="Arial Narrow"/>
                      <w:sz w:val="22"/>
                    </w:rPr>
                  </w:pPr>
                  <w:r>
                    <w:rPr>
                      <w:rFonts w:ascii="Arial Narrow" w:hAnsi="Arial Narrow"/>
                      <w:sz w:val="22"/>
                    </w:rPr>
                    <w:t>1</w:t>
                  </w:r>
                </w:p>
              </w:tc>
              <w:tc>
                <w:tcPr>
                  <w:tcW w:w="4174"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Arial Narrow" w:hAnsi="Arial Narrow"/>
                      <w:sz w:val="22"/>
                    </w:rPr>
                  </w:pPr>
                  <w:r>
                    <w:rPr>
                      <w:rFonts w:ascii="Arial Narrow" w:hAnsi="Arial Narrow"/>
                      <w:sz w:val="22"/>
                    </w:rPr>
                    <w:t>Grunty rolne</w:t>
                  </w:r>
                </w:p>
              </w:tc>
              <w:tc>
                <w:tcPr>
                  <w:tcW w:w="2268"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Arial Narrow" w:hAnsi="Arial Narrow"/>
                      <w:sz w:val="22"/>
                    </w:rPr>
                  </w:pPr>
                  <w:r>
                    <w:rPr>
                      <w:rFonts w:ascii="Arial Narrow" w:hAnsi="Arial Narrow"/>
                      <w:sz w:val="22"/>
                    </w:rPr>
                    <w:t>78</w:t>
                  </w:r>
                </w:p>
              </w:tc>
              <w:tc>
                <w:tcPr>
                  <w:tcW w:w="2267" w:type="dxa"/>
                  <w:tcBorders>
                    <w:top w:val="single" w:sz="6" w:space="0" w:color="000000"/>
                    <w:left w:val="single" w:sz="6" w:space="0" w:color="000000"/>
                    <w:bottom w:val="single" w:sz="6" w:space="0" w:color="000000"/>
                    <w:right w:val="single" w:sz="12" w:space="0" w:color="000000"/>
                  </w:tcBorders>
                </w:tcPr>
                <w:p>
                  <w:pPr>
                    <w:pStyle w:val="Normal"/>
                    <w:widowControl w:val="false"/>
                    <w:jc w:val="center"/>
                    <w:rPr>
                      <w:rFonts w:ascii="Arial Narrow" w:hAnsi="Arial Narrow"/>
                      <w:sz w:val="22"/>
                    </w:rPr>
                  </w:pPr>
                  <w:r>
                    <w:rPr>
                      <w:rFonts w:ascii="Arial Narrow" w:hAnsi="Arial Narrow"/>
                      <w:sz w:val="22"/>
                    </w:rPr>
                    <w:t>4 290</w:t>
                  </w:r>
                </w:p>
              </w:tc>
            </w:tr>
            <w:tr>
              <w:trPr/>
              <w:tc>
                <w:tcPr>
                  <w:tcW w:w="347" w:type="dxa"/>
                  <w:tcBorders>
                    <w:top w:val="single" w:sz="6" w:space="0" w:color="000000"/>
                    <w:left w:val="single" w:sz="12" w:space="0" w:color="000000"/>
                    <w:bottom w:val="single" w:sz="6" w:space="0" w:color="000000"/>
                    <w:right w:val="single" w:sz="6" w:space="0" w:color="000000"/>
                  </w:tcBorders>
                </w:tcPr>
                <w:p>
                  <w:pPr>
                    <w:pStyle w:val="Normal"/>
                    <w:widowControl w:val="false"/>
                    <w:jc w:val="both"/>
                    <w:rPr>
                      <w:rFonts w:ascii="Arial Narrow" w:hAnsi="Arial Narrow"/>
                      <w:sz w:val="22"/>
                    </w:rPr>
                  </w:pPr>
                  <w:r>
                    <w:rPr>
                      <w:rFonts w:ascii="Arial Narrow" w:hAnsi="Arial Narrow"/>
                      <w:sz w:val="22"/>
                    </w:rPr>
                    <w:t>2</w:t>
                  </w:r>
                </w:p>
              </w:tc>
              <w:tc>
                <w:tcPr>
                  <w:tcW w:w="4174"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Arial Narrow" w:hAnsi="Arial Narrow"/>
                      <w:sz w:val="22"/>
                    </w:rPr>
                  </w:pPr>
                  <w:r>
                    <w:rPr>
                      <w:rFonts w:ascii="Arial Narrow" w:hAnsi="Arial Narrow"/>
                      <w:sz w:val="22"/>
                    </w:rPr>
                    <w:t>Lasy i grunty leśne</w:t>
                  </w:r>
                </w:p>
              </w:tc>
              <w:tc>
                <w:tcPr>
                  <w:tcW w:w="2268"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Arial Narrow" w:hAnsi="Arial Narrow"/>
                      <w:sz w:val="22"/>
                    </w:rPr>
                  </w:pPr>
                  <w:r>
                    <w:rPr>
                      <w:rFonts w:ascii="Arial Narrow" w:hAnsi="Arial Narrow"/>
                      <w:sz w:val="22"/>
                    </w:rPr>
                    <w:t>7</w:t>
                  </w:r>
                </w:p>
              </w:tc>
              <w:tc>
                <w:tcPr>
                  <w:tcW w:w="2267" w:type="dxa"/>
                  <w:tcBorders>
                    <w:top w:val="single" w:sz="6" w:space="0" w:color="000000"/>
                    <w:left w:val="single" w:sz="6" w:space="0" w:color="000000"/>
                    <w:bottom w:val="single" w:sz="6" w:space="0" w:color="000000"/>
                    <w:right w:val="single" w:sz="12" w:space="0" w:color="000000"/>
                  </w:tcBorders>
                </w:tcPr>
                <w:p>
                  <w:pPr>
                    <w:pStyle w:val="Normal"/>
                    <w:widowControl w:val="false"/>
                    <w:jc w:val="center"/>
                    <w:rPr>
                      <w:rFonts w:ascii="Arial Narrow" w:hAnsi="Arial Narrow"/>
                      <w:sz w:val="22"/>
                    </w:rPr>
                  </w:pPr>
                  <w:r>
                    <w:rPr>
                      <w:rFonts w:ascii="Arial Narrow" w:hAnsi="Arial Narrow"/>
                      <w:sz w:val="22"/>
                    </w:rPr>
                    <w:t>485</w:t>
                  </w:r>
                </w:p>
              </w:tc>
            </w:tr>
            <w:tr>
              <w:trPr/>
              <w:tc>
                <w:tcPr>
                  <w:tcW w:w="347" w:type="dxa"/>
                  <w:tcBorders>
                    <w:top w:val="single" w:sz="6" w:space="0" w:color="000000"/>
                    <w:left w:val="single" w:sz="12" w:space="0" w:color="000000"/>
                    <w:bottom w:val="single" w:sz="6" w:space="0" w:color="000000"/>
                    <w:right w:val="single" w:sz="6" w:space="0" w:color="000000"/>
                  </w:tcBorders>
                </w:tcPr>
                <w:p>
                  <w:pPr>
                    <w:pStyle w:val="Normal"/>
                    <w:widowControl w:val="false"/>
                    <w:jc w:val="both"/>
                    <w:rPr>
                      <w:rFonts w:ascii="Arial Narrow" w:hAnsi="Arial Narrow"/>
                      <w:sz w:val="22"/>
                    </w:rPr>
                  </w:pPr>
                  <w:r>
                    <w:rPr>
                      <w:rFonts w:ascii="Arial Narrow" w:hAnsi="Arial Narrow"/>
                      <w:sz w:val="22"/>
                    </w:rPr>
                    <w:t>3</w:t>
                  </w:r>
                </w:p>
              </w:tc>
              <w:tc>
                <w:tcPr>
                  <w:tcW w:w="4174"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Arial Narrow" w:hAnsi="Arial Narrow"/>
                      <w:sz w:val="22"/>
                    </w:rPr>
                  </w:pPr>
                  <w:r>
                    <w:rPr>
                      <w:rFonts w:ascii="Arial Narrow" w:hAnsi="Arial Narrow"/>
                      <w:sz w:val="22"/>
                    </w:rPr>
                    <w:t>Pozostałe grunty</w:t>
                  </w:r>
                </w:p>
              </w:tc>
              <w:tc>
                <w:tcPr>
                  <w:tcW w:w="2268"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Arial Narrow" w:hAnsi="Arial Narrow"/>
                      <w:sz w:val="22"/>
                    </w:rPr>
                  </w:pPr>
                  <w:r>
                    <w:rPr>
                      <w:rFonts w:ascii="Arial Narrow" w:hAnsi="Arial Narrow"/>
                      <w:sz w:val="22"/>
                    </w:rPr>
                    <w:t>15</w:t>
                  </w:r>
                </w:p>
              </w:tc>
              <w:tc>
                <w:tcPr>
                  <w:tcW w:w="2267" w:type="dxa"/>
                  <w:tcBorders>
                    <w:top w:val="single" w:sz="6" w:space="0" w:color="000000"/>
                    <w:left w:val="single" w:sz="6" w:space="0" w:color="000000"/>
                    <w:bottom w:val="single" w:sz="6" w:space="0" w:color="000000"/>
                    <w:right w:val="single" w:sz="12" w:space="0" w:color="000000"/>
                  </w:tcBorders>
                </w:tcPr>
                <w:p>
                  <w:pPr>
                    <w:pStyle w:val="Normal"/>
                    <w:widowControl w:val="false"/>
                    <w:jc w:val="center"/>
                    <w:rPr>
                      <w:rFonts w:ascii="Arial Narrow" w:hAnsi="Arial Narrow"/>
                      <w:sz w:val="22"/>
                    </w:rPr>
                  </w:pPr>
                  <w:r>
                    <w:rPr>
                      <w:rFonts w:ascii="Arial Narrow" w:hAnsi="Arial Narrow"/>
                      <w:sz w:val="22"/>
                    </w:rPr>
                    <w:t>749</w:t>
                  </w:r>
                </w:p>
              </w:tc>
            </w:tr>
            <w:tr>
              <w:trPr/>
              <w:tc>
                <w:tcPr>
                  <w:tcW w:w="4521" w:type="dxa"/>
                  <w:gridSpan w:val="2"/>
                  <w:tcBorders>
                    <w:top w:val="single" w:sz="6" w:space="0" w:color="000000"/>
                    <w:left w:val="single" w:sz="12" w:space="0" w:color="000000"/>
                    <w:bottom w:val="single" w:sz="6" w:space="0" w:color="000000"/>
                    <w:right w:val="single" w:sz="6" w:space="0" w:color="000000"/>
                  </w:tcBorders>
                </w:tcPr>
                <w:p>
                  <w:pPr>
                    <w:pStyle w:val="Normal"/>
                    <w:widowControl w:val="false"/>
                    <w:rPr>
                      <w:rFonts w:ascii="Arial Narrow" w:hAnsi="Arial Narrow"/>
                      <w:sz w:val="22"/>
                    </w:rPr>
                  </w:pPr>
                  <w:r>
                    <w:rPr>
                      <w:rFonts w:ascii="Arial Narrow" w:hAnsi="Arial Narrow"/>
                      <w:sz w:val="22"/>
                    </w:rPr>
                    <w:t>Razem</w:t>
                  </w:r>
                </w:p>
              </w:tc>
              <w:tc>
                <w:tcPr>
                  <w:tcW w:w="2268"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Arial Narrow" w:hAnsi="Arial Narrow"/>
                      <w:sz w:val="22"/>
                    </w:rPr>
                  </w:pPr>
                  <w:r>
                    <w:rPr>
                      <w:rFonts w:ascii="Arial Narrow" w:hAnsi="Arial Narrow"/>
                      <w:sz w:val="22"/>
                    </w:rPr>
                    <w:t>100</w:t>
                  </w:r>
                </w:p>
              </w:tc>
              <w:tc>
                <w:tcPr>
                  <w:tcW w:w="2267" w:type="dxa"/>
                  <w:tcBorders>
                    <w:top w:val="single" w:sz="6" w:space="0" w:color="000000"/>
                    <w:left w:val="single" w:sz="6" w:space="0" w:color="000000"/>
                    <w:bottom w:val="single" w:sz="6" w:space="0" w:color="000000"/>
                    <w:right w:val="single" w:sz="12" w:space="0" w:color="000000"/>
                  </w:tcBorders>
                </w:tcPr>
                <w:p>
                  <w:pPr>
                    <w:pStyle w:val="Normal"/>
                    <w:widowControl w:val="false"/>
                    <w:jc w:val="center"/>
                    <w:rPr>
                      <w:rFonts w:ascii="Arial Narrow" w:hAnsi="Arial Narrow"/>
                      <w:sz w:val="22"/>
                    </w:rPr>
                  </w:pPr>
                  <w:r>
                    <w:rPr>
                      <w:rFonts w:ascii="Arial Narrow" w:hAnsi="Arial Narrow"/>
                      <w:sz w:val="22"/>
                    </w:rPr>
                    <w:t>5 524</w:t>
                  </w:r>
                </w:p>
              </w:tc>
            </w:tr>
          </w:tbl>
          <w:p>
            <w:pPr>
              <w:pStyle w:val="Normal"/>
              <w:widowControl w:val="false"/>
              <w:jc w:val="both"/>
              <w:rPr>
                <w:rFonts w:ascii="Arial Narrow" w:hAnsi="Arial Narrow"/>
                <w:bCs/>
                <w:sz w:val="22"/>
              </w:rPr>
            </w:pPr>
            <w:r>
              <w:rPr>
                <w:rFonts w:ascii="Arial Narrow" w:hAnsi="Arial Narrow"/>
                <w:bCs/>
                <w:sz w:val="22"/>
              </w:rPr>
              <w:t>Tabela 1</w:t>
            </w:r>
          </w:p>
          <w:p>
            <w:pPr>
              <w:pStyle w:val="Normal"/>
              <w:widowControl w:val="false"/>
              <w:jc w:val="both"/>
              <w:rPr>
                <w:rFonts w:ascii="Arial Narrow" w:hAnsi="Arial Narrow" w:cs="Arial"/>
                <w:sz w:val="22"/>
              </w:rPr>
            </w:pPr>
            <w:r>
              <w:rPr>
                <w:rFonts w:cs="Arial" w:ascii="Arial Narrow" w:hAnsi="Arial Narrow"/>
                <w:sz w:val="22"/>
              </w:rPr>
            </w:r>
          </w:p>
          <w:p>
            <w:pPr>
              <w:pStyle w:val="Normal"/>
              <w:widowControl w:val="false"/>
              <w:jc w:val="both"/>
              <w:rPr>
                <w:rFonts w:ascii="Arial Narrow" w:hAnsi="Arial Narrow"/>
                <w:bCs/>
                <w:sz w:val="22"/>
              </w:rPr>
            </w:pPr>
            <w:r>
              <w:rPr>
                <w:rFonts w:cs="Arial" w:ascii="Arial Narrow" w:hAnsi="Arial Narrow"/>
                <w:sz w:val="22"/>
              </w:rPr>
              <w:t>Teren gminy położony jest w Bolimowsko-Radziejowickim z doliną środkowej Rawki Obszarze Chronionego Krajobrazu, który to krajobraz urozmaicają Wydmy Międzyborowskie a także dolina rzeki Pisi Tucznej. Korzystne warunki naturalne, sprzyjają rozwojowi turystyki i rekreacji.</w:t>
            </w:r>
          </w:p>
          <w:p>
            <w:pPr>
              <w:pStyle w:val="NormalWeb"/>
              <w:widowControl w:val="false"/>
              <w:spacing w:beforeAutospacing="0" w:before="120" w:afterAutospacing="0" w:after="0"/>
              <w:jc w:val="both"/>
              <w:rPr>
                <w:rFonts w:ascii="Arial Narrow" w:hAnsi="Arial Narrow" w:eastAsia="Lucida Sans Unicode" w:cs="Times New Roman"/>
                <w:kern w:val="2"/>
                <w:sz w:val="22"/>
                <w:szCs w:val="22"/>
              </w:rPr>
            </w:pPr>
            <w:r>
              <w:rPr>
                <w:rFonts w:ascii="Arial Narrow" w:hAnsi="Arial Narrow"/>
                <w:sz w:val="22"/>
                <w:szCs w:val="22"/>
              </w:rPr>
              <w:t xml:space="preserve">Projekt planu obejmuje obszar ograniczony fragmentem </w:t>
            </w:r>
            <w:r>
              <w:rPr>
                <w:rFonts w:eastAsia="Times New Roman" w:ascii="Arial Narrow" w:hAnsi="Arial Narrow"/>
                <w:sz w:val="22"/>
                <w:szCs w:val="22"/>
              </w:rPr>
              <w:t>południowej granicy działki nr ewid. 215 (droga gminna ul. Słoneczna), fragmentem zachodniej granicy działki nr ewid. 166/2 (droga gminna nr 150307W ulica Alpejska), południowymi granicami działek nr ewid. 221/5, 221/6 oraz fragmentem wschodniej granicy działki 294/15 (rów) oraz wschodnimi granicami działek nr ewid.: 294/4, 294/2, 294/1 (rów)</w:t>
            </w:r>
            <w:r>
              <w:rPr>
                <w:rFonts w:ascii="Arial Narrow" w:hAnsi="Arial Narrow"/>
                <w:sz w:val="22"/>
                <w:szCs w:val="22"/>
              </w:rPr>
              <w:t xml:space="preserve"> o powierzchni około 2ha w miejscowości Chylice położoną we wschodniej części gm. Jaktorów. Poniższe informacje zaczerpnięto z Analizy zasadności przystąpienia do sporządzenia miejscowego planu zagospodarowania przestrzennego i stopnia zgodności przewidywanych rozwiązań z ustaleniami studium, dla fragmentu wsi Chylice, </w:t>
            </w:r>
            <w:r>
              <w:rPr>
                <w:rFonts w:cs="Times New Roman" w:ascii="Arial Narrow" w:hAnsi="Arial Narrow"/>
                <w:sz w:val="22"/>
                <w:szCs w:val="22"/>
              </w:rPr>
              <w:t>gm. Jaktorów</w:t>
            </w:r>
            <w:r>
              <w:rPr>
                <w:rFonts w:eastAsia="Times New Roman" w:cs="Times New Roman" w:ascii="Arial Narrow" w:hAnsi="Arial Narrow"/>
                <w:sz w:val="22"/>
                <w:szCs w:val="22"/>
              </w:rPr>
              <w:t xml:space="preserve">, </w:t>
            </w:r>
            <w:r>
              <w:rPr>
                <w:rFonts w:ascii="Arial Narrow" w:hAnsi="Arial Narrow"/>
                <w:sz w:val="22"/>
                <w:szCs w:val="22"/>
              </w:rPr>
              <w:t xml:space="preserve">obejmującego obszar ograniczony fragmentem </w:t>
            </w:r>
            <w:r>
              <w:rPr>
                <w:rFonts w:eastAsia="Times New Roman" w:ascii="Arial Narrow" w:hAnsi="Arial Narrow"/>
                <w:sz w:val="22"/>
                <w:szCs w:val="22"/>
              </w:rPr>
              <w:t>południowej granicy działki nr ewid. 215 (droga gminna ul. Słoneczna), fragmentem zachodniej granicy działki nr ewid. 166/2 (droga gminna nr 150307W ulica Alpejska), południowymi granicami działek nr ewid. 221/5, 221/6 oraz fragmentem wschodniej granicy działki 294/15 (rów) oraz wschodnimi granicami działek nr ewid.: 294/4, 294/2, 294/1 (rów)</w:t>
            </w:r>
            <w:r>
              <w:rPr>
                <w:rFonts w:eastAsia="Lucida Sans Unicode" w:cs="Times New Roman" w:ascii="Arial Narrow" w:hAnsi="Arial Narrow"/>
                <w:kern w:val="2"/>
                <w:sz w:val="22"/>
                <w:szCs w:val="22"/>
              </w:rPr>
              <w:t>.</w:t>
            </w:r>
          </w:p>
          <w:p>
            <w:pPr>
              <w:pStyle w:val="Standard"/>
              <w:widowControl w:val="false"/>
              <w:jc w:val="both"/>
              <w:rPr>
                <w:rFonts w:ascii="Arial Narrow" w:hAnsi="Arial Narrow"/>
                <w:sz w:val="16"/>
                <w:szCs w:val="16"/>
              </w:rPr>
            </w:pPr>
            <w:r>
              <w:rPr>
                <w:rFonts w:ascii="Arial Narrow" w:hAnsi="Arial Narrow"/>
                <w:sz w:val="16"/>
                <w:szCs w:val="16"/>
              </w:rPr>
            </w:r>
          </w:p>
          <w:p>
            <w:pPr>
              <w:pStyle w:val="Standard"/>
              <w:widowControl w:val="false"/>
              <w:ind w:firstLine="708"/>
              <w:jc w:val="both"/>
              <w:rPr>
                <w:rFonts w:ascii="Arial Narrow" w:hAnsi="Arial Narrow"/>
                <w:sz w:val="22"/>
                <w:szCs w:val="22"/>
              </w:rPr>
            </w:pPr>
            <w:r>
              <w:rPr>
                <w:rFonts w:ascii="Arial Narrow" w:hAnsi="Arial Narrow"/>
                <w:sz w:val="22"/>
                <w:szCs w:val="22"/>
              </w:rPr>
              <w:t>„</w:t>
            </w:r>
            <w:r>
              <w:rPr>
                <w:rFonts w:ascii="Arial Narrow" w:hAnsi="Arial Narrow"/>
                <w:sz w:val="22"/>
                <w:szCs w:val="22"/>
              </w:rPr>
              <w:t xml:space="preserve">Analizowany obszar o powierzchni ponad 2ha znajduje się przy drogach gminnych: ul. Alpejska i ulica Słoneczna. Od strony wschodniej graniczy z rowem melioracyjnym oraz terenami leśnymi. W otoczeniu realizowana jest zabudowa mieszkaniowa jednorodzinna, w odległości ok. 1 km znajduje się zespół szkolno – przedszkolny, boiska sportowe, place zabaw, hala sportowa. Do ścisłego centrum gminy z budynkami użyteczności publicznej (budynek Urzędu Gminy, policji) oraz budynkami handlowo – usługowymi jest ok. 1,5 km.  </w:t>
            </w:r>
            <w:r>
              <w:rPr>
                <w:rFonts w:cs="Times New Roman" w:ascii="Arial Narrow" w:hAnsi="Arial Narrow"/>
                <w:sz w:val="22"/>
                <w:szCs w:val="22"/>
              </w:rPr>
              <w:t>Obszar objęty analizą stanowi fragment skoncentrowanego osiedla zabudowy mieszkaniowej jednorodzinnej, realizowanej w oparciu o miejscowy plan zagospodarowania przestrzennego zatwierdzony Uchwałą Nr XIX/126/2003 Rady Gminy Jaktorów z dnia 8.12.2003 r. (Dz. Urz. Woj. Maz. z 2004 r. Nr 43 poz. 1240).</w:t>
            </w:r>
          </w:p>
          <w:p>
            <w:pPr>
              <w:pStyle w:val="Standard"/>
              <w:widowControl w:val="false"/>
              <w:tabs>
                <w:tab w:val="clear" w:pos="708"/>
                <w:tab w:val="left" w:pos="855" w:leader="none"/>
              </w:tabs>
              <w:jc w:val="both"/>
              <w:rPr>
                <w:rFonts w:ascii="Arial Narrow" w:hAnsi="Arial Narrow" w:eastAsia="Lucida Sans Unicode" w:cs="Times New Roman"/>
                <w:sz w:val="22"/>
                <w:szCs w:val="22"/>
              </w:rPr>
            </w:pPr>
            <w:r>
              <w:rPr>
                <w:rFonts w:eastAsia="Lucida Sans Unicode" w:cs="Times New Roman" w:ascii="Arial Narrow" w:hAnsi="Arial Narrow"/>
                <w:sz w:val="22"/>
                <w:szCs w:val="22"/>
              </w:rPr>
              <w:t>W dniu 15.06.2022 r. wpłynął wniosek właścicieli działek nr ewid. 216/7 i 217/6 we wsi Chylice o zmianę planu miejscowego w zakresie wykreślenia linii zabudowy wskazującej odległość 1,5 m od granicy z działką nr ewid. 217/6. Linia zabudowy umożliwiała posadowienie budynku mieszkalnego na działce pierwotnie oznaczonej nr ewid. 216. Zamiar ten nie został spełniony, gdyż właściciel działek pierwotnie oznaczonych nr ewid. 216 i 217 dokonał ich wspólnego podziału, w taki sposób, że dwie działki (jedna wydzielona z działki 216, druga z działki 217) stanowią jedną nieruchomość. Wrysowana w planie miejscowym wewnętrzna linia zabudowy jest bezprzedmiotowa, a wręcz ogranicza możliwość zagospodarowania nieruchomości. W przypadku wniosko-wanego terenu działek 216/7 i 217/6 uniemożliwia uzyskanie pozwolenia na budowę. Ponadto należy skorygować parametry terenu komunikacji, tj. ciągu pieszo – jezdnego (Kx) na działce 221/6, który ze względu na 4-metrową szerokość, nie spełnia parametrów drogi dojazdowej do działek budowlanych.</w:t>
            </w:r>
          </w:p>
          <w:p>
            <w:pPr>
              <w:pStyle w:val="Standard"/>
              <w:widowControl w:val="false"/>
              <w:tabs>
                <w:tab w:val="clear" w:pos="708"/>
                <w:tab w:val="left" w:pos="855" w:leader="none"/>
              </w:tabs>
              <w:jc w:val="both"/>
              <w:rPr>
                <w:rFonts w:ascii="Arial Narrow" w:hAnsi="Arial Narrow"/>
                <w:sz w:val="22"/>
                <w:szCs w:val="22"/>
              </w:rPr>
            </w:pPr>
            <w:r>
              <w:rPr>
                <w:rFonts w:cs="Times New Roman" w:ascii="Arial Narrow" w:hAnsi="Arial Narrow"/>
                <w:sz w:val="22"/>
                <w:szCs w:val="22"/>
              </w:rPr>
              <w:t>Opracowanie nowego miejscowego planu zagospodarowania przestrzennego umożliwi dalszy rozwój rozbudowy osiedla mieszkaniowego. Zgodnie z danymi ewidencji gruntów, działki znajdujące się w obszarze objętym analizą, stanowią głównie użytki „B” – tereny mieszkaniowe, użytki rolne (RV, RVI) oraz drogi („dr”), nie wymagają więc uzyskania zgody na zmianę przeznaczenia gruntów rolnych i leśnych na cele nierolnicze i nieleśne.</w:t>
            </w:r>
          </w:p>
          <w:p>
            <w:pPr>
              <w:pStyle w:val="Standard"/>
              <w:widowControl w:val="false"/>
              <w:jc w:val="both"/>
              <w:rPr>
                <w:rFonts w:ascii="Arial Narrow" w:hAnsi="Arial Narrow"/>
                <w:sz w:val="22"/>
                <w:szCs w:val="22"/>
              </w:rPr>
            </w:pPr>
            <w:r>
              <w:rPr>
                <w:rFonts w:cs="Times New Roman" w:ascii="Arial Narrow" w:hAnsi="Arial Narrow"/>
                <w:sz w:val="22"/>
                <w:szCs w:val="22"/>
              </w:rPr>
              <w:t xml:space="preserve">Obszar objęty niniejszą analizą położony jest przy urządzonych drogach gminnych. Posiada dostęp do infrastruktury technicznej: sieć wodociągowa, energetyczna, telekomunikacyjna, gazowa, kanalizacyjna. Nie znajduje się w graniach terenów przyrodniczych prawnie chronionych na podstawie ustawy o ochronie przyrody.                 </w:t>
            </w:r>
          </w:p>
          <w:p>
            <w:pPr>
              <w:pStyle w:val="Standard"/>
              <w:widowControl w:val="false"/>
              <w:jc w:val="both"/>
              <w:rPr>
                <w:rFonts w:ascii="Arial Narrow" w:hAnsi="Arial Narrow"/>
                <w:sz w:val="22"/>
                <w:szCs w:val="22"/>
              </w:rPr>
            </w:pPr>
            <w:r>
              <w:rPr>
                <w:rFonts w:cs="Times New Roman" w:ascii="Arial Narrow" w:hAnsi="Arial Narrow"/>
                <w:sz w:val="22"/>
                <w:szCs w:val="22"/>
              </w:rPr>
              <w:t>W celu umożliwienia dalszego rozwoju obszaru należy przystąpić do opracowania miejscowego planu zagospodarowania przestrzennego, a istniejące zagospodarowanie, infrastruktura techniczna oraz przeznaczenie gruntów, nie stoją w sprzeczności z zamiarem jego opracowania.</w:t>
            </w:r>
          </w:p>
          <w:p>
            <w:pPr>
              <w:pStyle w:val="Standard"/>
              <w:widowControl w:val="false"/>
              <w:jc w:val="both"/>
              <w:rPr>
                <w:rFonts w:ascii="Arial Narrow" w:hAnsi="Arial Narrow" w:cs="Times New Roman"/>
                <w:sz w:val="22"/>
                <w:szCs w:val="22"/>
              </w:rPr>
            </w:pPr>
            <w:r>
              <w:rPr>
                <w:rFonts w:cs="Times New Roman" w:ascii="Arial Narrow" w:hAnsi="Arial Narrow"/>
                <w:sz w:val="22"/>
                <w:szCs w:val="22"/>
              </w:rPr>
            </w:r>
          </w:p>
          <w:p>
            <w:pPr>
              <w:pStyle w:val="Standard"/>
              <w:widowControl w:val="false"/>
              <w:jc w:val="both"/>
              <w:rPr>
                <w:rFonts w:ascii="Arial Narrow" w:hAnsi="Arial Narrow"/>
                <w:sz w:val="22"/>
                <w:szCs w:val="22"/>
              </w:rPr>
            </w:pPr>
            <w:r>
              <w:rPr>
                <w:rFonts w:ascii="Arial Narrow" w:hAnsi="Arial Narrow"/>
                <w:sz w:val="22"/>
                <w:szCs w:val="22"/>
              </w:rPr>
              <w:t>Zgodnie z obowiązującym Studium Uwarunkowań i Kierunków Zagospodarowania Przestrzennego Gminy Jaktorów, zatwierdzonym uchwałą nr XXX/153/2001 Rady Gminy Jaktorów z dn. 08.06.2001 r., teren objęty niniejszą analizą, znajduje się w strefie zabudowy mieszkaniowej jednorodzinnej, dla której obowiązują następującego ustalenia:.</w:t>
            </w:r>
          </w:p>
          <w:p>
            <w:pPr>
              <w:pStyle w:val="Standard"/>
              <w:widowControl w:val="false"/>
              <w:rPr>
                <w:rFonts w:ascii="Arial Narrow" w:hAnsi="Arial Narrow" w:cs="Times New Roman"/>
                <w:i/>
                <w:i/>
                <w:iCs/>
                <w:sz w:val="22"/>
                <w:szCs w:val="22"/>
              </w:rPr>
            </w:pPr>
            <w:r>
              <w:rPr>
                <w:rFonts w:cs="Times New Roman" w:ascii="Arial Narrow" w:hAnsi="Arial Narrow"/>
                <w:i/>
                <w:iCs/>
                <w:sz w:val="22"/>
                <w:szCs w:val="22"/>
              </w:rPr>
            </w:r>
          </w:p>
          <w:p>
            <w:pPr>
              <w:pStyle w:val="Standard"/>
              <w:widowControl w:val="false"/>
              <w:jc w:val="both"/>
              <w:rPr>
                <w:rFonts w:ascii="Arial Narrow" w:hAnsi="Arial Narrow" w:cs="Times New Roman"/>
                <w:b/>
                <w:b/>
                <w:bCs/>
                <w:i/>
                <w:i/>
                <w:iCs/>
                <w:sz w:val="22"/>
                <w:szCs w:val="22"/>
              </w:rPr>
            </w:pPr>
            <w:r>
              <w:rPr>
                <w:rFonts w:cs="Times New Roman" w:ascii="Arial Narrow" w:hAnsi="Arial Narrow"/>
                <w:b/>
                <w:bCs/>
                <w:i/>
                <w:iCs/>
                <w:sz w:val="22"/>
                <w:szCs w:val="22"/>
              </w:rPr>
              <w:t>Strefa zabudowy mieszkaniowej jednorodzinnej</w:t>
            </w:r>
          </w:p>
          <w:p>
            <w:pPr>
              <w:pStyle w:val="Standard"/>
              <w:widowControl w:val="false"/>
              <w:jc w:val="both"/>
              <w:rPr>
                <w:rFonts w:ascii="Arial Narrow" w:hAnsi="Arial Narrow" w:cs="Times New Roman"/>
                <w:i/>
                <w:i/>
                <w:iCs/>
                <w:sz w:val="22"/>
                <w:szCs w:val="22"/>
              </w:rPr>
            </w:pPr>
            <w:r>
              <w:rPr>
                <w:rFonts w:cs="Times New Roman" w:ascii="Arial Narrow" w:hAnsi="Arial Narrow"/>
                <w:i/>
                <w:iCs/>
                <w:sz w:val="22"/>
                <w:szCs w:val="22"/>
              </w:rPr>
              <w:t>Tereny zabudowy mieszkaniowej powinny być przeznaczone pod utrzymanie lub rozbiórkę istniejącej i realizowanie projektowanej zabudowy jednorodzinnej wolno stojącej lub szeregowej wraz z budynkami gospodarczymi i garażami. W przypadku istniejącej zabudowy mieszkaniowej na tym terenie dopuszcza się rozbiórkę lub rozbudowę, modernizację i adaptację nie wpływającą na zmianę funkcji terenu. Budynki gospodarcze lub garaże mogą być sytuowane w granicach działek lub zestawiane bliźniaczo, przy zachowaniu przepisów szczególnych.</w:t>
            </w:r>
          </w:p>
          <w:p>
            <w:pPr>
              <w:pStyle w:val="Standard"/>
              <w:widowControl w:val="false"/>
              <w:jc w:val="both"/>
              <w:rPr>
                <w:rFonts w:ascii="Arial Narrow" w:hAnsi="Arial Narrow" w:cs="Times New Roman"/>
                <w:i/>
                <w:i/>
                <w:iCs/>
                <w:sz w:val="22"/>
                <w:szCs w:val="22"/>
              </w:rPr>
            </w:pPr>
            <w:r>
              <w:rPr>
                <w:rFonts w:cs="Times New Roman" w:ascii="Arial Narrow" w:hAnsi="Arial Narrow"/>
                <w:i/>
                <w:iCs/>
                <w:sz w:val="22"/>
                <w:szCs w:val="22"/>
              </w:rPr>
              <w:t>Forma nowych budynków mieszkalnych powinna być kształtowana w nawiązaniu do architektury współczesnej bez ograniczeń w zakresie materiałów konstrukcyjnych, przy zastosowaniu tradycyjnych materiałów wykończeniowych, jak tynki gładkie w jasnych barwach, wykładziny PCV, drewniane lub ceramiczne itp.</w:t>
            </w:r>
          </w:p>
          <w:p>
            <w:pPr>
              <w:pStyle w:val="Standard"/>
              <w:widowControl w:val="false"/>
              <w:jc w:val="both"/>
              <w:rPr>
                <w:rFonts w:ascii="Arial Narrow" w:hAnsi="Arial Narrow" w:cs="Times New Roman"/>
                <w:i/>
                <w:i/>
                <w:iCs/>
                <w:sz w:val="22"/>
                <w:szCs w:val="22"/>
              </w:rPr>
            </w:pPr>
            <w:r>
              <w:rPr>
                <w:rFonts w:cs="Times New Roman" w:ascii="Arial Narrow" w:hAnsi="Arial Narrow"/>
                <w:i/>
                <w:iCs/>
                <w:sz w:val="22"/>
                <w:szCs w:val="22"/>
              </w:rPr>
              <w:t>Wysokość projektowanych budynków może wynosić max. 2 kondygnacje (+ poddasze użytkowe).</w:t>
            </w:r>
          </w:p>
          <w:p>
            <w:pPr>
              <w:pStyle w:val="Standard"/>
              <w:widowControl w:val="false"/>
              <w:jc w:val="both"/>
              <w:rPr>
                <w:rFonts w:ascii="Arial Narrow" w:hAnsi="Arial Narrow" w:cs="Times New Roman"/>
                <w:i/>
                <w:i/>
                <w:iCs/>
                <w:sz w:val="22"/>
                <w:szCs w:val="22"/>
              </w:rPr>
            </w:pPr>
            <w:r>
              <w:rPr>
                <w:rFonts w:cs="Times New Roman" w:ascii="Arial Narrow" w:hAnsi="Arial Narrow"/>
                <w:i/>
                <w:iCs/>
                <w:sz w:val="22"/>
                <w:szCs w:val="22"/>
              </w:rPr>
              <w:t>Dach dwuspadowy lub kopertowy o nachyleniu połaci 30</w:t>
            </w:r>
            <w:r>
              <w:rPr>
                <w:rFonts w:cs="Times New Roman" w:ascii="Arial Narrow" w:hAnsi="Arial Narrow"/>
                <w:i/>
                <w:iCs/>
                <w:sz w:val="22"/>
                <w:szCs w:val="22"/>
                <w:vertAlign w:val="superscript"/>
              </w:rPr>
              <w:t>0</w:t>
            </w:r>
            <w:r>
              <w:rPr>
                <w:rFonts w:cs="Times New Roman" w:ascii="Arial Narrow" w:hAnsi="Arial Narrow"/>
                <w:i/>
                <w:iCs/>
                <w:sz w:val="22"/>
                <w:szCs w:val="22"/>
              </w:rPr>
              <w:t xml:space="preserve"> - 45</w:t>
            </w:r>
            <w:r>
              <w:rPr>
                <w:rFonts w:cs="Times New Roman" w:ascii="Arial Narrow" w:hAnsi="Arial Narrow"/>
                <w:i/>
                <w:iCs/>
                <w:sz w:val="22"/>
                <w:szCs w:val="22"/>
                <w:vertAlign w:val="superscript"/>
              </w:rPr>
              <w:t>0</w:t>
            </w:r>
            <w:r>
              <w:rPr>
                <w:rFonts w:cs="Times New Roman" w:ascii="Arial Narrow" w:hAnsi="Arial Narrow"/>
                <w:i/>
                <w:iCs/>
                <w:sz w:val="22"/>
                <w:szCs w:val="22"/>
              </w:rPr>
              <w:t xml:space="preserve"> lub stropodach wentylowany o nachyleniu 15</w:t>
            </w:r>
            <w:r>
              <w:rPr>
                <w:rFonts w:cs="Times New Roman" w:ascii="Arial Narrow" w:hAnsi="Arial Narrow"/>
                <w:i/>
                <w:iCs/>
                <w:sz w:val="22"/>
                <w:szCs w:val="22"/>
                <w:vertAlign w:val="superscript"/>
              </w:rPr>
              <w:t>0</w:t>
            </w:r>
            <w:r>
              <w:rPr>
                <w:rFonts w:cs="Times New Roman" w:ascii="Arial Narrow" w:hAnsi="Arial Narrow"/>
                <w:i/>
                <w:iCs/>
                <w:sz w:val="22"/>
                <w:szCs w:val="22"/>
              </w:rPr>
              <w:t xml:space="preserve"> - 35</w:t>
            </w:r>
            <w:r>
              <w:rPr>
                <w:rFonts w:cs="Times New Roman" w:ascii="Arial Narrow" w:hAnsi="Arial Narrow"/>
                <w:i/>
                <w:iCs/>
                <w:sz w:val="22"/>
                <w:szCs w:val="22"/>
                <w:vertAlign w:val="superscript"/>
              </w:rPr>
              <w:t>0</w:t>
            </w:r>
            <w:r>
              <w:rPr>
                <w:rFonts w:cs="Times New Roman" w:ascii="Arial Narrow" w:hAnsi="Arial Narrow"/>
                <w:i/>
                <w:iCs/>
                <w:sz w:val="22"/>
                <w:szCs w:val="22"/>
              </w:rPr>
              <w:t>.</w:t>
            </w:r>
          </w:p>
          <w:p>
            <w:pPr>
              <w:pStyle w:val="Standard"/>
              <w:widowControl w:val="false"/>
              <w:jc w:val="both"/>
              <w:rPr>
                <w:rFonts w:ascii="Arial Narrow" w:hAnsi="Arial Narrow" w:cs="Times New Roman"/>
                <w:i/>
                <w:i/>
                <w:iCs/>
                <w:sz w:val="22"/>
                <w:szCs w:val="22"/>
              </w:rPr>
            </w:pPr>
            <w:r>
              <w:rPr>
                <w:rFonts w:cs="Times New Roman" w:ascii="Arial Narrow" w:hAnsi="Arial Narrow"/>
                <w:i/>
                <w:iCs/>
                <w:sz w:val="22"/>
                <w:szCs w:val="22"/>
              </w:rPr>
              <w:t>Dopuszcza się odstępstwa od zasad w zakresie rozwiązań dachów, w przypadkach wynikających ze szczególnych warunków ochrony przeciwpożarowej, a zwłaszcza w sytuacjach konieczności zastosowania ścian ogniowych.</w:t>
            </w:r>
          </w:p>
          <w:p>
            <w:pPr>
              <w:pStyle w:val="Standard"/>
              <w:widowControl w:val="false"/>
              <w:jc w:val="both"/>
              <w:rPr>
                <w:rFonts w:ascii="Arial Narrow" w:hAnsi="Arial Narrow" w:cs="Times New Roman"/>
                <w:i/>
                <w:i/>
                <w:iCs/>
                <w:sz w:val="22"/>
                <w:szCs w:val="22"/>
              </w:rPr>
            </w:pPr>
            <w:r>
              <w:rPr>
                <w:rFonts w:cs="Times New Roman" w:ascii="Arial Narrow" w:hAnsi="Arial Narrow"/>
                <w:i/>
                <w:iCs/>
                <w:sz w:val="22"/>
                <w:szCs w:val="22"/>
              </w:rPr>
              <w:t>Ustala się obowiązek zachowania powierzchni niezabudowanej i nieutwardzonej na poziomie 50% - 60%.</w:t>
            </w:r>
          </w:p>
          <w:p>
            <w:pPr>
              <w:pStyle w:val="Standard"/>
              <w:widowControl w:val="false"/>
              <w:jc w:val="both"/>
              <w:rPr>
                <w:rFonts w:ascii="Arial Narrow" w:hAnsi="Arial Narrow" w:cs="Times New Roman"/>
                <w:i/>
                <w:i/>
                <w:iCs/>
                <w:sz w:val="22"/>
                <w:szCs w:val="22"/>
              </w:rPr>
            </w:pPr>
            <w:r>
              <w:rPr>
                <w:rFonts w:cs="Times New Roman" w:ascii="Arial Narrow" w:hAnsi="Arial Narrow"/>
                <w:i/>
                <w:iCs/>
                <w:sz w:val="22"/>
                <w:szCs w:val="22"/>
              </w:rPr>
              <w:t>Tereny zabudowy mieszkaniowej z dopuszczeniem usług podstawowych (o uciążliwości nie wykraczającej poza granice działki) przeznacza się pod budownictwo mieszkaniowe jednorodzinne wolno stojące lub szeregowe z możliwością lokalizowania usług w parterze budynków mieszkalnych lub samodzielnych obiektów handlowo – usługowych, parterowych, dostosowanych kubaturą i rozwiązaniami architektonicznymi do otaczającej zabudowy mieszkaniowej. Ustala się obowiązek zachowania powierzchni niezabudowanej i nieutwardzonej na poziomie 50%.</w:t>
            </w:r>
          </w:p>
          <w:p>
            <w:pPr>
              <w:pStyle w:val="Standard"/>
              <w:widowControl w:val="false"/>
              <w:jc w:val="both"/>
              <w:rPr>
                <w:rFonts w:ascii="Arial Narrow" w:hAnsi="Arial Narrow" w:cs="Times New Roman"/>
                <w:i/>
                <w:i/>
                <w:iCs/>
                <w:sz w:val="22"/>
                <w:szCs w:val="22"/>
              </w:rPr>
            </w:pPr>
            <w:r>
              <w:rPr>
                <w:rFonts w:cs="Times New Roman" w:ascii="Arial Narrow" w:hAnsi="Arial Narrow"/>
                <w:i/>
                <w:iCs/>
                <w:sz w:val="22"/>
                <w:szCs w:val="22"/>
              </w:rPr>
              <w:t>Tereny o funkcji usług nieuciążliwych przeznacza się pod urządzenia i zabudowę usługową z dopuszczeniem terenów zieleni.</w:t>
            </w:r>
          </w:p>
          <w:p>
            <w:pPr>
              <w:pStyle w:val="Standard"/>
              <w:widowControl w:val="false"/>
              <w:jc w:val="both"/>
              <w:rPr>
                <w:rFonts w:ascii="Arial Narrow" w:hAnsi="Arial Narrow" w:cs="Times New Roman"/>
                <w:i/>
                <w:i/>
                <w:iCs/>
                <w:sz w:val="22"/>
                <w:szCs w:val="22"/>
              </w:rPr>
            </w:pPr>
            <w:r>
              <w:rPr>
                <w:rFonts w:cs="Times New Roman" w:ascii="Arial Narrow" w:hAnsi="Arial Narrow"/>
                <w:i/>
                <w:iCs/>
                <w:sz w:val="22"/>
                <w:szCs w:val="22"/>
              </w:rPr>
              <w:t>Ustala się następujące przeznaczenie: usługi handlu, gastronomii i inne usługi komercyjne nieuciążliwe. Dla nowo realizowanych oraz przebudowywanych budynków nieprzekraczalna wysokość powinna wynosić 12m od poziomu terenu do kalenicy dachu. Ustala się obowiązek zachowania powierzchni niezabudowanej i nieutwardzonej na poziomie 35% - 45%.</w:t>
            </w:r>
          </w:p>
          <w:p>
            <w:pPr>
              <w:pStyle w:val="Standard"/>
              <w:widowControl w:val="false"/>
              <w:jc w:val="both"/>
              <w:rPr>
                <w:rFonts w:ascii="Arial Narrow" w:hAnsi="Arial Narrow" w:cs="Times New Roman"/>
                <w:i/>
                <w:i/>
                <w:iCs/>
                <w:sz w:val="22"/>
                <w:szCs w:val="22"/>
              </w:rPr>
            </w:pPr>
            <w:r>
              <w:rPr>
                <w:rFonts w:cs="Times New Roman" w:ascii="Arial Narrow" w:hAnsi="Arial Narrow"/>
                <w:i/>
                <w:iCs/>
                <w:sz w:val="22"/>
                <w:szCs w:val="22"/>
              </w:rPr>
              <w:t>Podział terenów na działki budowlane powinien w maksymalnym stopniu uwzględniać istniejące granice własności.</w:t>
            </w:r>
          </w:p>
          <w:p>
            <w:pPr>
              <w:pStyle w:val="Standard"/>
              <w:widowControl w:val="false"/>
              <w:jc w:val="both"/>
              <w:rPr>
                <w:rFonts w:ascii="Arial Narrow" w:hAnsi="Arial Narrow" w:cs="Times New Roman"/>
                <w:i/>
                <w:i/>
                <w:iCs/>
                <w:sz w:val="22"/>
                <w:szCs w:val="22"/>
              </w:rPr>
            </w:pPr>
            <w:r>
              <w:rPr>
                <w:rFonts w:cs="Times New Roman" w:ascii="Arial Narrow" w:hAnsi="Arial Narrow"/>
                <w:i/>
                <w:iCs/>
                <w:sz w:val="22"/>
                <w:szCs w:val="22"/>
              </w:rPr>
              <w:t>Powierzchnia nowych działek pod zabudowę mieszkaniową jednorodzinną wolno stojącą i pod zabudowę mieszkaniową jednorodzinną z usługami powinna wynosić nie mniej niż 1000m</w:t>
            </w:r>
            <w:r>
              <w:rPr>
                <w:rFonts w:cs="Times New Roman" w:ascii="Arial Narrow" w:hAnsi="Arial Narrow"/>
                <w:i/>
                <w:iCs/>
                <w:sz w:val="22"/>
                <w:szCs w:val="22"/>
                <w:vertAlign w:val="superscript"/>
              </w:rPr>
              <w:t>2</w:t>
            </w:r>
            <w:r>
              <w:rPr>
                <w:rFonts w:cs="Times New Roman" w:ascii="Arial Narrow" w:hAnsi="Arial Narrow"/>
                <w:i/>
                <w:iCs/>
                <w:sz w:val="22"/>
                <w:szCs w:val="22"/>
              </w:rPr>
              <w:t xml:space="preserve"> i mieć szerokość nie mniejszą niż 20m. Minimalna szerokość działki przeznaczonej pod zabudowę mieszkaniową jednorodzinną szeregową powinna wynosić 8m. Minimalna wielkość nowych działek pod zabudowę usług podstawowych nieuciążliwych powinna wynosić 1500m</w:t>
            </w:r>
            <w:r>
              <w:rPr>
                <w:rFonts w:cs="Times New Roman" w:ascii="Arial Narrow" w:hAnsi="Arial Narrow"/>
                <w:i/>
                <w:iCs/>
                <w:sz w:val="22"/>
                <w:szCs w:val="22"/>
                <w:vertAlign w:val="superscript"/>
              </w:rPr>
              <w:t>2</w:t>
            </w:r>
            <w:r>
              <w:rPr>
                <w:rFonts w:cs="Times New Roman" w:ascii="Arial Narrow" w:hAnsi="Arial Narrow"/>
                <w:i/>
                <w:iCs/>
                <w:sz w:val="22"/>
                <w:szCs w:val="22"/>
              </w:rPr>
              <w:t xml:space="preserve"> i mieć szerokość min. 25m.</w:t>
            </w:r>
          </w:p>
          <w:p>
            <w:pPr>
              <w:pStyle w:val="Standard"/>
              <w:widowControl w:val="false"/>
              <w:jc w:val="both"/>
              <w:rPr>
                <w:rFonts w:ascii="Arial Narrow" w:hAnsi="Arial Narrow" w:cs="Times New Roman"/>
                <w:i/>
                <w:i/>
                <w:iCs/>
                <w:sz w:val="22"/>
                <w:szCs w:val="22"/>
              </w:rPr>
            </w:pPr>
            <w:r>
              <w:rPr>
                <w:rFonts w:cs="Times New Roman" w:ascii="Arial Narrow" w:hAnsi="Arial Narrow"/>
                <w:i/>
                <w:iCs/>
                <w:sz w:val="22"/>
                <w:szCs w:val="22"/>
              </w:rPr>
              <w:t xml:space="preserve">Tereny komunikacji przeznaczone są do utrzymania istniejącej i realizacji projektowanych dróg i ulic w obszarze linii rozgraniczających. Szerokość </w:t>
            </w:r>
            <w:r>
              <w:rPr>
                <w:rFonts w:eastAsia="Times New Roman" w:cs="Times New Roman" w:ascii="Arial Narrow" w:hAnsi="Arial Narrow"/>
                <w:i/>
                <w:iCs/>
                <w:sz w:val="22"/>
                <w:szCs w:val="22"/>
                <w:lang w:bidi="ar-SA"/>
              </w:rPr>
              <w:t>dróg dojazdowych w liniach rozgraniczających wynosi 10 m i 12m. Szerokość ciągów pieszo-jezdnych – 6m.</w:t>
            </w:r>
          </w:p>
          <w:p>
            <w:pPr>
              <w:pStyle w:val="Standard"/>
              <w:widowControl w:val="false"/>
              <w:jc w:val="both"/>
              <w:rPr>
                <w:rFonts w:ascii="Arial Narrow" w:hAnsi="Arial Narrow" w:cs="Times New Roman"/>
                <w:i/>
                <w:i/>
                <w:iCs/>
                <w:sz w:val="22"/>
                <w:szCs w:val="22"/>
              </w:rPr>
            </w:pPr>
            <w:r>
              <w:rPr>
                <w:rFonts w:cs="Times New Roman" w:ascii="Arial Narrow" w:hAnsi="Arial Narrow"/>
                <w:i/>
                <w:iCs/>
                <w:sz w:val="22"/>
                <w:szCs w:val="22"/>
              </w:rPr>
              <w:t>Na terenach w/w w liniach rozgraniczających zakazuje się realizacji obiektów budowlanych, z wyjątkiem urządzeń technicznych dróg i związanych z utrzymaniem i obsługą ruchu, dopuszcza się realizację sieci uzbrojenia terenu pod warunkiem nienaruszenia wymagań określonych w odrębnych przepisach dotyczących dróg publicznych, a także uzyskanie zgody zarządcy dróg.</w:t>
            </w:r>
          </w:p>
          <w:p>
            <w:pPr>
              <w:pStyle w:val="Standard"/>
              <w:widowControl w:val="false"/>
              <w:ind w:left="426" w:hanging="426"/>
              <w:jc w:val="both"/>
              <w:rPr>
                <w:rFonts w:ascii="Arial Narrow" w:hAnsi="Arial Narrow" w:eastAsia="Arial" w:cs="Times New Roman"/>
                <w:i/>
                <w:i/>
                <w:iCs/>
                <w:sz w:val="22"/>
                <w:szCs w:val="22"/>
              </w:rPr>
            </w:pPr>
            <w:r>
              <w:rPr>
                <w:rFonts w:eastAsia="Arial" w:cs="Times New Roman" w:ascii="Arial Narrow" w:hAnsi="Arial Narrow"/>
                <w:i/>
                <w:iCs/>
                <w:sz w:val="22"/>
                <w:szCs w:val="22"/>
              </w:rPr>
              <w:t xml:space="preserve"> </w:t>
            </w:r>
          </w:p>
          <w:p>
            <w:pPr>
              <w:pStyle w:val="Standard"/>
              <w:widowControl w:val="false"/>
              <w:jc w:val="both"/>
              <w:rPr>
                <w:rFonts w:ascii="Arial Narrow" w:hAnsi="Arial Narrow"/>
                <w:sz w:val="22"/>
                <w:szCs w:val="22"/>
              </w:rPr>
            </w:pPr>
            <w:r>
              <w:rPr>
                <w:rFonts w:cs="Times New Roman" w:ascii="Arial Narrow" w:hAnsi="Arial Narrow"/>
                <w:sz w:val="22"/>
                <w:szCs w:val="22"/>
              </w:rPr>
              <w:t xml:space="preserve">Projektowane przeznaczenie w obszarze planu to głównie tereny zabudowy mieszkaniowej jednorodzinnej oraz tereny dróg. Takie przeznaczenie nie narusza ustaleń polityki zawartej w Studium Uwarunkowań i Kierunków Zagospodarowania Przestrzennego Gminy Jaktorów.”  </w:t>
            </w:r>
          </w:p>
          <w:p>
            <w:pPr>
              <w:pStyle w:val="NormalWeb"/>
              <w:widowControl w:val="false"/>
              <w:spacing w:beforeAutospacing="0" w:before="120" w:afterAutospacing="0" w:after="0"/>
              <w:jc w:val="both"/>
              <w:rPr>
                <w:rFonts w:ascii="Arial Narrow" w:hAnsi="Arial Narrow"/>
              </w:rPr>
            </w:pPr>
            <w:r>
              <w:rPr/>
              <w:drawing>
                <wp:inline distT="0" distB="0" distL="0" distR="0">
                  <wp:extent cx="5391785" cy="3092450"/>
                  <wp:effectExtent l="0" t="0" r="0" b="0"/>
                  <wp:docPr id="5"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7" descr=""/>
                          <pic:cNvPicPr>
                            <a:picLocks noChangeAspect="1" noChangeArrowheads="1"/>
                          </pic:cNvPicPr>
                        </pic:nvPicPr>
                        <pic:blipFill>
                          <a:blip r:embed="rId6"/>
                          <a:srcRect l="23667" t="27867" r="28351" b="23202"/>
                          <a:stretch>
                            <a:fillRect/>
                          </a:stretch>
                        </pic:blipFill>
                        <pic:spPr bwMode="auto">
                          <a:xfrm>
                            <a:off x="0" y="0"/>
                            <a:ext cx="5391785" cy="3092450"/>
                          </a:xfrm>
                          <a:prstGeom prst="rect">
                            <a:avLst/>
                          </a:prstGeom>
                        </pic:spPr>
                      </pic:pic>
                    </a:graphicData>
                  </a:graphic>
                </wp:inline>
              </w:drawing>
            </w:r>
            <w:r>
              <w:rPr>
                <w:rFonts w:ascii="Arial Narrow" w:hAnsi="Arial Narrow"/>
                <w:sz w:val="22"/>
                <w:szCs w:val="22"/>
              </w:rPr>
              <w:t>Orientacyjne zdjęcie lotnicze z zaznaczeniem obszaru objętego projektem planu (https://mapy.geoportal.gov.pl)</w:t>
            </w:r>
          </w:p>
          <w:p>
            <w:pPr>
              <w:pStyle w:val="Normal"/>
              <w:widowControl w:val="false"/>
              <w:jc w:val="center"/>
              <w:rPr>
                <w:rFonts w:ascii="Arial Narrow" w:hAnsi="Arial Narrow"/>
                <w:sz w:val="22"/>
                <w:szCs w:val="22"/>
              </w:rPr>
            </w:pPr>
            <w:r>
              <w:rPr/>
              <w:drawing>
                <wp:inline distT="0" distB="0" distL="0" distR="0">
                  <wp:extent cx="5454650" cy="3433445"/>
                  <wp:effectExtent l="0" t="0" r="0" b="0"/>
                  <wp:docPr id="6"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8" descr=""/>
                          <pic:cNvPicPr>
                            <a:picLocks noChangeAspect="1" noChangeArrowheads="1"/>
                          </pic:cNvPicPr>
                        </pic:nvPicPr>
                        <pic:blipFill>
                          <a:blip r:embed="rId7"/>
                          <a:srcRect l="28314" t="27750" r="14797" b="8592"/>
                          <a:stretch>
                            <a:fillRect/>
                          </a:stretch>
                        </pic:blipFill>
                        <pic:spPr bwMode="auto">
                          <a:xfrm>
                            <a:off x="0" y="0"/>
                            <a:ext cx="5454650" cy="3433445"/>
                          </a:xfrm>
                          <a:prstGeom prst="rect">
                            <a:avLst/>
                          </a:prstGeom>
                        </pic:spPr>
                      </pic:pic>
                    </a:graphicData>
                  </a:graphic>
                </wp:inline>
              </w:drawing>
            </w:r>
            <w:r>
              <w:rPr>
                <w:rFonts w:ascii="Arial Narrow" w:hAnsi="Arial Narrow"/>
                <w:sz w:val="22"/>
                <w:szCs w:val="22"/>
              </w:rPr>
              <w:t>Aktualne przeznaczenie w planie zagospodarowania przestrzenngo zaczerpnięte ze strony (</w:t>
            </w:r>
            <w:hyperlink r:id="rId8">
              <w:r>
                <w:rPr>
                  <w:rStyle w:val="Czeinternetowe"/>
                  <w:rFonts w:ascii="Arial Narrow" w:hAnsi="Arial Narrow"/>
                  <w:color w:val="auto"/>
                  <w:sz w:val="22"/>
                  <w:szCs w:val="22"/>
                  <w:u w:val="none"/>
                </w:rPr>
                <w:t>https://grodziski.e-mapa.net</w:t>
              </w:r>
            </w:hyperlink>
            <w:r>
              <w:rPr>
                <w:rFonts w:ascii="Arial Narrow" w:hAnsi="Arial Narrow"/>
                <w:sz w:val="22"/>
                <w:szCs w:val="22"/>
              </w:rPr>
              <w:t>)</w:t>
            </w:r>
          </w:p>
          <w:p>
            <w:pPr>
              <w:pStyle w:val="Normal"/>
              <w:widowControl w:val="false"/>
              <w:rPr>
                <w:rFonts w:ascii="Arial Narrow" w:hAnsi="Arial Narrow"/>
                <w:sz w:val="10"/>
              </w:rPr>
            </w:pPr>
            <w:r>
              <w:rPr>
                <w:rFonts w:ascii="Arial Narrow" w:hAnsi="Arial Narrow"/>
                <w:sz w:val="10"/>
              </w:rPr>
            </w:r>
          </w:p>
          <w:p>
            <w:pPr>
              <w:pStyle w:val="Normal"/>
              <w:widowControl w:val="false"/>
              <w:rPr>
                <w:rFonts w:ascii="Arial Narrow" w:hAnsi="Arial Narrow"/>
                <w:sz w:val="10"/>
              </w:rPr>
            </w:pPr>
            <w:r>
              <w:rPr>
                <w:rFonts w:ascii="Arial Narrow" w:hAnsi="Arial Narrow"/>
                <w:sz w:val="10"/>
              </w:rPr>
            </w:r>
          </w:p>
          <w:p>
            <w:pPr>
              <w:pStyle w:val="Normal"/>
              <w:widowControl w:val="false"/>
              <w:rPr>
                <w:rFonts w:ascii="Arial Narrow" w:hAnsi="Arial Narrow"/>
                <w:sz w:val="10"/>
              </w:rPr>
            </w:pPr>
            <w:r>
              <w:rPr/>
              <w:drawing>
                <wp:inline distT="0" distB="0" distL="0" distR="0">
                  <wp:extent cx="5657850" cy="4698365"/>
                  <wp:effectExtent l="0" t="0" r="0" b="0"/>
                  <wp:docPr id="7"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1" descr=""/>
                          <pic:cNvPicPr>
                            <a:picLocks noChangeAspect="1" noChangeArrowheads="1"/>
                          </pic:cNvPicPr>
                        </pic:nvPicPr>
                        <pic:blipFill>
                          <a:blip r:embed="rId9"/>
                          <a:srcRect l="58044" t="19146" r="16944" b="8692"/>
                          <a:stretch>
                            <a:fillRect/>
                          </a:stretch>
                        </pic:blipFill>
                        <pic:spPr bwMode="auto">
                          <a:xfrm>
                            <a:off x="0" y="0"/>
                            <a:ext cx="5657850" cy="4698365"/>
                          </a:xfrm>
                          <a:prstGeom prst="rect">
                            <a:avLst/>
                          </a:prstGeom>
                        </pic:spPr>
                      </pic:pic>
                    </a:graphicData>
                  </a:graphic>
                </wp:inline>
              </w:drawing>
            </w:r>
          </w:p>
          <w:p>
            <w:pPr>
              <w:pStyle w:val="Normal"/>
              <w:widowControl w:val="false"/>
              <w:rPr>
                <w:rFonts w:ascii="Arial Narrow" w:hAnsi="Arial Narrow"/>
                <w:sz w:val="22"/>
                <w:szCs w:val="22"/>
              </w:rPr>
            </w:pPr>
            <w:r>
              <w:rPr>
                <w:rFonts w:ascii="Arial Narrow" w:hAnsi="Arial Narrow"/>
                <w:sz w:val="22"/>
                <w:szCs w:val="22"/>
              </w:rPr>
              <w:t>Rysunek projektowanego planu zagospodarowania przestrzennego</w:t>
            </w:r>
          </w:p>
          <w:p>
            <w:pPr>
              <w:pStyle w:val="Normal"/>
              <w:widowControl w:val="false"/>
              <w:jc w:val="both"/>
              <w:rPr>
                <w:rFonts w:ascii="Arial Narrow" w:hAnsi="Arial Narrow"/>
                <w:sz w:val="22"/>
                <w:szCs w:val="22"/>
              </w:rPr>
            </w:pPr>
            <w:r>
              <w:rPr>
                <w:rFonts w:ascii="Arial Narrow" w:hAnsi="Arial Narrow"/>
                <w:sz w:val="22"/>
                <w:szCs w:val="22"/>
              </w:rPr>
              <w:t xml:space="preserve">Projektowana zmiana planu zagospodarowania zasadniczo nie zmienia przeznaczenia terenów (poza działką nr ewid. 220/2, która została przeznaczona na cele zieleni urządzonej), zmiana planu miała na celu </w:t>
            </w:r>
            <w:r>
              <w:rPr>
                <w:rFonts w:eastAsia="Lucida Sans Unicode" w:ascii="Arial Narrow" w:hAnsi="Arial Narrow"/>
                <w:sz w:val="22"/>
                <w:szCs w:val="22"/>
              </w:rPr>
              <w:t>wykreślenie linii zabudowy wskazującej odległość 1,5 m od granicy z działką nr ewid. 217/6 oraz</w:t>
            </w:r>
            <w:r>
              <w:rPr>
                <w:rFonts w:ascii="Arial Narrow" w:hAnsi="Arial Narrow"/>
                <w:sz w:val="22"/>
                <w:szCs w:val="22"/>
              </w:rPr>
              <w:t xml:space="preserve"> dostosowanie parametrów drogi wewnętrznej do obecnych wymogów stawianych drogom dojazdowym do działek budowlanych – w projek-towanym planie zagospodarowania poszerzono drogę wewnętrzną 2KR (teren przeznaczony pod drogi wewnętrzne wzrósł o ok. 500m</w:t>
            </w:r>
            <w:r>
              <w:rPr>
                <w:rFonts w:ascii="Arial Narrow" w:hAnsi="Arial Narrow"/>
                <w:sz w:val="22"/>
                <w:szCs w:val="22"/>
                <w:vertAlign w:val="superscript"/>
              </w:rPr>
              <w:t>2</w:t>
            </w:r>
            <w:r>
              <w:rPr>
                <w:rFonts w:ascii="Arial Narrow" w:hAnsi="Arial Narrow"/>
                <w:sz w:val="22"/>
                <w:szCs w:val="22"/>
              </w:rPr>
              <w:t>).</w:t>
            </w:r>
          </w:p>
          <w:p>
            <w:pPr>
              <w:pStyle w:val="Normal"/>
              <w:widowControl w:val="false"/>
              <w:jc w:val="both"/>
              <w:rPr>
                <w:rFonts w:ascii="Arial Narrow" w:hAnsi="Arial Narrow"/>
                <w:sz w:val="22"/>
                <w:szCs w:val="22"/>
              </w:rPr>
            </w:pPr>
            <w:r>
              <w:rPr>
                <w:rFonts w:ascii="Arial Narrow" w:hAnsi="Arial Narrow"/>
                <w:sz w:val="22"/>
                <w:szCs w:val="22"/>
              </w:rPr>
            </w:r>
          </w:p>
        </w:tc>
      </w:tr>
    </w:tbl>
    <w:p>
      <w:pPr>
        <w:pStyle w:val="Normal"/>
        <w:jc w:val="center"/>
        <w:rPr>
          <w:rFonts w:ascii="Arial Narrow" w:hAnsi="Arial Narrow"/>
          <w:b/>
          <w:b/>
          <w:sz w:val="16"/>
          <w:szCs w:val="16"/>
        </w:rPr>
      </w:pPr>
      <w:r>
        <w:rPr/>
        <w:drawing>
          <wp:inline distT="0" distB="0" distL="0" distR="0">
            <wp:extent cx="2843530" cy="2132330"/>
            <wp:effectExtent l="0" t="0" r="0" b="0"/>
            <wp:docPr id="8" name="Obraz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6" descr=""/>
                    <pic:cNvPicPr>
                      <a:picLocks noChangeAspect="1" noChangeArrowheads="1"/>
                    </pic:cNvPicPr>
                  </pic:nvPicPr>
                  <pic:blipFill>
                    <a:blip r:embed="rId10"/>
                    <a:stretch>
                      <a:fillRect/>
                    </a:stretch>
                  </pic:blipFill>
                  <pic:spPr bwMode="auto">
                    <a:xfrm>
                      <a:off x="0" y="0"/>
                      <a:ext cx="2843530" cy="2132330"/>
                    </a:xfrm>
                    <a:prstGeom prst="rect">
                      <a:avLst/>
                    </a:prstGeom>
                  </pic:spPr>
                </pic:pic>
              </a:graphicData>
            </a:graphic>
          </wp:inline>
        </w:drawing>
      </w:r>
      <w:r>
        <w:rPr>
          <w:rFonts w:ascii="Arial Narrow" w:hAnsi="Arial Narrow"/>
          <w:b/>
          <w:sz w:val="16"/>
          <w:szCs w:val="16"/>
        </w:rPr>
        <w:t xml:space="preserve"> </w:t>
      </w:r>
      <w:r>
        <w:rPr/>
        <w:drawing>
          <wp:inline distT="0" distB="0" distL="0" distR="0">
            <wp:extent cx="2844800" cy="2133600"/>
            <wp:effectExtent l="0" t="0" r="0" b="0"/>
            <wp:docPr id="9" name="Obraz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7" descr=""/>
                    <pic:cNvPicPr>
                      <a:picLocks noChangeAspect="1" noChangeArrowheads="1"/>
                    </pic:cNvPicPr>
                  </pic:nvPicPr>
                  <pic:blipFill>
                    <a:blip r:embed="rId11"/>
                    <a:stretch>
                      <a:fillRect/>
                    </a:stretch>
                  </pic:blipFill>
                  <pic:spPr bwMode="auto">
                    <a:xfrm>
                      <a:off x="0" y="0"/>
                      <a:ext cx="2844800" cy="2133600"/>
                    </a:xfrm>
                    <a:prstGeom prst="rect">
                      <a:avLst/>
                    </a:prstGeom>
                  </pic:spPr>
                </pic:pic>
              </a:graphicData>
            </a:graphic>
          </wp:inline>
        </w:drawing>
      </w:r>
    </w:p>
    <w:p>
      <w:pPr>
        <w:pStyle w:val="Normal"/>
        <w:jc w:val="center"/>
        <w:rPr>
          <w:rFonts w:ascii="Arial Narrow" w:hAnsi="Arial Narrow"/>
          <w:b/>
          <w:b/>
          <w:sz w:val="4"/>
          <w:szCs w:val="4"/>
        </w:rPr>
      </w:pPr>
      <w:r>
        <w:rPr>
          <w:rFonts w:ascii="Arial Narrow" w:hAnsi="Arial Narrow"/>
          <w:b/>
          <w:sz w:val="4"/>
          <w:szCs w:val="4"/>
        </w:rPr>
      </w:r>
    </w:p>
    <w:p>
      <w:pPr>
        <w:pStyle w:val="Normal"/>
        <w:jc w:val="center"/>
        <w:rPr>
          <w:rFonts w:ascii="Arial Narrow" w:hAnsi="Arial Narrow"/>
          <w:b/>
          <w:b/>
          <w:sz w:val="16"/>
          <w:szCs w:val="16"/>
        </w:rPr>
      </w:pPr>
      <w:r>
        <w:rPr/>
        <w:drawing>
          <wp:inline distT="0" distB="0" distL="0" distR="0">
            <wp:extent cx="2835275" cy="2126615"/>
            <wp:effectExtent l="0" t="0" r="0" b="0"/>
            <wp:docPr id="10" name="Obraz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8" descr=""/>
                    <pic:cNvPicPr>
                      <a:picLocks noChangeAspect="1" noChangeArrowheads="1"/>
                    </pic:cNvPicPr>
                  </pic:nvPicPr>
                  <pic:blipFill>
                    <a:blip r:embed="rId12"/>
                    <a:stretch>
                      <a:fillRect/>
                    </a:stretch>
                  </pic:blipFill>
                  <pic:spPr bwMode="auto">
                    <a:xfrm>
                      <a:off x="0" y="0"/>
                      <a:ext cx="2835275" cy="2126615"/>
                    </a:xfrm>
                    <a:prstGeom prst="rect">
                      <a:avLst/>
                    </a:prstGeom>
                  </pic:spPr>
                </pic:pic>
              </a:graphicData>
            </a:graphic>
          </wp:inline>
        </w:drawing>
      </w:r>
      <w:r>
        <w:rPr>
          <w:rFonts w:ascii="Arial Narrow" w:hAnsi="Arial Narrow"/>
          <w:b/>
          <w:sz w:val="16"/>
          <w:szCs w:val="16"/>
        </w:rPr>
        <w:t xml:space="preserve"> </w:t>
      </w:r>
      <w:r>
        <w:rPr/>
        <w:drawing>
          <wp:inline distT="0" distB="0" distL="0" distR="0">
            <wp:extent cx="2844165" cy="2133600"/>
            <wp:effectExtent l="0" t="0" r="0" b="0"/>
            <wp:docPr id="11" name="Obraz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9" descr=""/>
                    <pic:cNvPicPr>
                      <a:picLocks noChangeAspect="1" noChangeArrowheads="1"/>
                    </pic:cNvPicPr>
                  </pic:nvPicPr>
                  <pic:blipFill>
                    <a:blip r:embed="rId13"/>
                    <a:stretch>
                      <a:fillRect/>
                    </a:stretch>
                  </pic:blipFill>
                  <pic:spPr bwMode="auto">
                    <a:xfrm>
                      <a:off x="0" y="0"/>
                      <a:ext cx="2844165" cy="2133600"/>
                    </a:xfrm>
                    <a:prstGeom prst="rect">
                      <a:avLst/>
                    </a:prstGeom>
                  </pic:spPr>
                </pic:pic>
              </a:graphicData>
            </a:graphic>
          </wp:inline>
        </w:drawing>
      </w:r>
    </w:p>
    <w:p>
      <w:pPr>
        <w:pStyle w:val="Normal"/>
        <w:jc w:val="center"/>
        <w:rPr>
          <w:rFonts w:ascii="Arial Narrow" w:hAnsi="Arial Narrow"/>
          <w:b/>
          <w:b/>
          <w:sz w:val="4"/>
          <w:szCs w:val="4"/>
        </w:rPr>
      </w:pPr>
      <w:r>
        <w:rPr>
          <w:rFonts w:ascii="Arial Narrow" w:hAnsi="Arial Narrow"/>
          <w:b/>
          <w:sz w:val="4"/>
          <w:szCs w:val="4"/>
        </w:rPr>
      </w:r>
    </w:p>
    <w:p>
      <w:pPr>
        <w:pStyle w:val="Normal"/>
        <w:jc w:val="center"/>
        <w:rPr>
          <w:rFonts w:ascii="Arial Narrow" w:hAnsi="Arial Narrow"/>
          <w:b/>
          <w:b/>
          <w:sz w:val="16"/>
          <w:szCs w:val="16"/>
        </w:rPr>
      </w:pPr>
      <w:r>
        <w:rPr/>
        <w:drawing>
          <wp:inline distT="0" distB="0" distL="0" distR="0">
            <wp:extent cx="2841625" cy="2131060"/>
            <wp:effectExtent l="0" t="0" r="0" b="0"/>
            <wp:docPr id="12" name="Obraz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20" descr=""/>
                    <pic:cNvPicPr>
                      <a:picLocks noChangeAspect="1" noChangeArrowheads="1"/>
                    </pic:cNvPicPr>
                  </pic:nvPicPr>
                  <pic:blipFill>
                    <a:blip r:embed="rId14"/>
                    <a:stretch>
                      <a:fillRect/>
                    </a:stretch>
                  </pic:blipFill>
                  <pic:spPr bwMode="auto">
                    <a:xfrm>
                      <a:off x="0" y="0"/>
                      <a:ext cx="2841625" cy="2131060"/>
                    </a:xfrm>
                    <a:prstGeom prst="rect">
                      <a:avLst/>
                    </a:prstGeom>
                  </pic:spPr>
                </pic:pic>
              </a:graphicData>
            </a:graphic>
          </wp:inline>
        </w:drawing>
      </w:r>
      <w:r>
        <w:rPr>
          <w:rFonts w:ascii="Arial Narrow" w:hAnsi="Arial Narrow"/>
          <w:b/>
          <w:sz w:val="16"/>
          <w:szCs w:val="16"/>
        </w:rPr>
        <w:t xml:space="preserve"> </w:t>
      </w:r>
      <w:r>
        <w:rPr/>
        <w:drawing>
          <wp:inline distT="0" distB="0" distL="0" distR="0">
            <wp:extent cx="2841625" cy="2131060"/>
            <wp:effectExtent l="0" t="0" r="0" b="0"/>
            <wp:docPr id="13" name="Obraz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24" descr=""/>
                    <pic:cNvPicPr>
                      <a:picLocks noChangeAspect="1" noChangeArrowheads="1"/>
                    </pic:cNvPicPr>
                  </pic:nvPicPr>
                  <pic:blipFill>
                    <a:blip r:embed="rId15"/>
                    <a:stretch>
                      <a:fillRect/>
                    </a:stretch>
                  </pic:blipFill>
                  <pic:spPr bwMode="auto">
                    <a:xfrm>
                      <a:off x="0" y="0"/>
                      <a:ext cx="2841625" cy="2131060"/>
                    </a:xfrm>
                    <a:prstGeom prst="rect">
                      <a:avLst/>
                    </a:prstGeom>
                  </pic:spPr>
                </pic:pic>
              </a:graphicData>
            </a:graphic>
          </wp:inline>
        </w:drawing>
      </w:r>
    </w:p>
    <w:p>
      <w:pPr>
        <w:pStyle w:val="Normal"/>
        <w:jc w:val="center"/>
        <w:rPr>
          <w:rFonts w:ascii="Arial Narrow" w:hAnsi="Arial Narrow"/>
          <w:b/>
          <w:b/>
          <w:sz w:val="14"/>
          <w:szCs w:val="16"/>
        </w:rPr>
      </w:pPr>
      <w:r>
        <w:rPr>
          <w:rFonts w:ascii="Arial Narrow" w:hAnsi="Arial Narrow"/>
          <w:sz w:val="22"/>
          <w:szCs w:val="16"/>
        </w:rPr>
        <w:t>Widok na teren objęty planem – widok od strony ulic Alpejskiej i Słonecznej</w:t>
      </w:r>
    </w:p>
    <w:p>
      <w:pPr>
        <w:pStyle w:val="Normal"/>
        <w:rPr>
          <w:rFonts w:ascii="Arial Narrow" w:hAnsi="Arial Narrow"/>
          <w:sz w:val="8"/>
          <w:szCs w:val="8"/>
        </w:rPr>
      </w:pPr>
      <w:r>
        <w:rPr>
          <w:rFonts w:ascii="Arial Narrow" w:hAnsi="Arial Narrow"/>
          <w:sz w:val="16"/>
          <w:szCs w:val="16"/>
        </w:rPr>
        <w:t xml:space="preserve"> </w:t>
      </w:r>
    </w:p>
    <w:p>
      <w:pPr>
        <w:pStyle w:val="Normal"/>
        <w:jc w:val="center"/>
        <w:rPr>
          <w:rFonts w:ascii="Arial Narrow" w:hAnsi="Arial Narrow"/>
          <w:sz w:val="16"/>
          <w:szCs w:val="16"/>
        </w:rPr>
      </w:pPr>
      <w:r>
        <w:rPr>
          <w:rFonts w:ascii="Arial Narrow" w:hAnsi="Arial Narrow"/>
          <w:sz w:val="16"/>
          <w:szCs w:val="16"/>
        </w:rPr>
      </w:r>
    </w:p>
    <w:p>
      <w:pPr>
        <w:pStyle w:val="Normal"/>
        <w:jc w:val="center"/>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t>Tereny położone w gminie Jaktorów charakteryzują się dogodnym dojazdem do stolicy (bliskość tras komunikacyjnych i autostrady A2, dogodne połączenia komunikacyjne z Warszawą, m.in. PKP). Ze względu na rozwijający się w okolicach Grodziska przemysł i związane z tym miejsca pracy oraz bliskość Warszawy, tereny te cieszą się ciągłym zainteresowaniem  ze strony potencjalnych nabywców. Dodatkowym atutem są walory ekologiczne (m. in. malownicze położenie, bliskość terenów zalesionych).</w:t>
      </w:r>
    </w:p>
    <w:p>
      <w:pPr>
        <w:pStyle w:val="Normal"/>
        <w:jc w:val="both"/>
        <w:rPr>
          <w:rFonts w:ascii="Arial Narrow" w:hAnsi="Arial Narrow"/>
          <w:sz w:val="22"/>
          <w:szCs w:val="22"/>
        </w:rPr>
      </w:pPr>
      <w:r>
        <w:rPr>
          <w:rFonts w:ascii="Arial Narrow" w:hAnsi="Arial Narrow"/>
          <w:sz w:val="22"/>
          <w:szCs w:val="22"/>
        </w:rPr>
      </w:r>
    </w:p>
    <w:p>
      <w:pPr>
        <w:pStyle w:val="Normal"/>
        <w:jc w:val="both"/>
        <w:rPr>
          <w:rFonts w:ascii="Arial Narrow" w:hAnsi="Arial Narrow"/>
          <w:sz w:val="22"/>
          <w:szCs w:val="22"/>
        </w:rPr>
      </w:pPr>
      <w:r>
        <w:rPr>
          <w:rFonts w:ascii="Arial Narrow" w:hAnsi="Arial Narrow"/>
          <w:sz w:val="22"/>
          <w:szCs w:val="22"/>
        </w:rPr>
        <w:t>Na rynku obejmującym gminę Jaktorów w ciągu ostatniego roku panuje stabilizacja ilości zawieranych transakcji, można zauważyć nadwyżkę podaży nad popytem, jedynie na obszarze centrum handlowo-usługowego gminy można mówić o równowadze lub lekkiej nadwyżce popytu nad podażą (tym bardziej, że ilość działek nie zabudowanych na tym terenie jest bardzo ograniczona). Do szczegółowej analizy wzięto transakcje dotyczące nieruchomości niezabudowanych o powierzchniach do 1500m</w:t>
      </w:r>
      <w:r>
        <w:rPr>
          <w:rFonts w:ascii="Arial Narrow" w:hAnsi="Arial Narrow"/>
          <w:sz w:val="22"/>
          <w:szCs w:val="22"/>
          <w:vertAlign w:val="superscript"/>
        </w:rPr>
        <w:t>2</w:t>
      </w:r>
      <w:r>
        <w:rPr>
          <w:rFonts w:ascii="Arial Narrow" w:hAnsi="Arial Narrow"/>
          <w:sz w:val="22"/>
          <w:szCs w:val="22"/>
        </w:rPr>
        <w:t xml:space="preserve"> położonych na terenie sąsiednich wsi Chylice, Chylice Kolonia, Jaktorów, Jaktorów Kolonia, Chyliczki, Budy Grzybek, Stare Budy i Sade Budy. Po analizie nie stwierdzono różnic w cenach nieruchomości przeznaczonych pod zabudowę dla których istnieje obowiązujący plan zagospodarowania przestrzennego i nieruchomości dla których nie ma planu zagospodarowania (działki powstałe z podziału dokonanego w oparciu o warunki zabudowy).</w:t>
      </w:r>
    </w:p>
    <w:p>
      <w:pPr>
        <w:pStyle w:val="Normal"/>
        <w:jc w:val="both"/>
        <w:rPr>
          <w:rFonts w:ascii="Arial Narrow" w:hAnsi="Arial Narrow"/>
          <w:sz w:val="22"/>
          <w:szCs w:val="22"/>
        </w:rPr>
      </w:pPr>
      <w:r>
        <w:rPr>
          <w:rFonts w:ascii="Arial Narrow" w:hAnsi="Arial Narrow"/>
          <w:sz w:val="22"/>
          <w:szCs w:val="22"/>
        </w:rPr>
      </w:r>
    </w:p>
    <w:p>
      <w:pPr>
        <w:pStyle w:val="Normal"/>
        <w:jc w:val="both"/>
        <w:rPr>
          <w:rFonts w:ascii="Arial Narrow" w:hAnsi="Arial Narrow"/>
          <w:sz w:val="22"/>
          <w:szCs w:val="22"/>
        </w:rPr>
      </w:pPr>
      <w:r>
        <w:rPr>
          <w:rFonts w:ascii="Arial Narrow" w:hAnsi="Arial Narrow"/>
          <w:sz w:val="22"/>
          <w:szCs w:val="22"/>
        </w:rPr>
      </w:r>
    </w:p>
    <w:p>
      <w:pPr>
        <w:pStyle w:val="Normal"/>
        <w:jc w:val="center"/>
        <w:rPr>
          <w:rFonts w:ascii="Arial Narrow" w:hAnsi="Arial Narrow"/>
          <w:sz w:val="22"/>
          <w:szCs w:val="22"/>
        </w:rPr>
      </w:pPr>
      <w:r>
        <w:rPr/>
        <w:drawing>
          <wp:inline distT="0" distB="0" distL="0" distR="0">
            <wp:extent cx="5807075" cy="3441700"/>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Normal"/>
        <w:jc w:val="center"/>
        <w:rPr>
          <w:rFonts w:ascii="Arial Narrow" w:hAnsi="Arial Narrow"/>
          <w:sz w:val="16"/>
          <w:szCs w:val="16"/>
        </w:rPr>
      </w:pPr>
      <w:r>
        <w:rPr>
          <w:rFonts w:ascii="Arial Narrow" w:hAnsi="Arial Narrow"/>
          <w:sz w:val="16"/>
          <w:szCs w:val="16"/>
        </w:rPr>
      </w:r>
    </w:p>
    <w:p>
      <w:pPr>
        <w:pStyle w:val="Normal"/>
        <w:jc w:val="center"/>
        <w:rPr>
          <w:rFonts w:ascii="Arial Narrow" w:hAnsi="Arial Narrow"/>
          <w:sz w:val="16"/>
          <w:szCs w:val="16"/>
        </w:rPr>
      </w:pPr>
      <w:r>
        <w:rPr>
          <w:rFonts w:ascii="Arial Narrow" w:hAnsi="Arial Narrow"/>
          <w:sz w:val="16"/>
          <w:szCs w:val="16"/>
        </w:rPr>
      </w:r>
    </w:p>
    <w:p>
      <w:pPr>
        <w:pStyle w:val="Normal"/>
        <w:jc w:val="center"/>
        <w:rPr>
          <w:rFonts w:ascii="Arial Narrow" w:hAnsi="Arial Narrow"/>
          <w:sz w:val="16"/>
          <w:szCs w:val="16"/>
        </w:rPr>
      </w:pPr>
      <w:r>
        <w:rPr>
          <w:rFonts w:ascii="Arial Narrow" w:hAnsi="Arial Narrow"/>
          <w:sz w:val="16"/>
          <w:szCs w:val="16"/>
        </w:rPr>
      </w:r>
    </w:p>
    <w:p>
      <w:pPr>
        <w:pStyle w:val="Normal"/>
        <w:jc w:val="both"/>
        <w:rPr>
          <w:rFonts w:ascii="Arial Narrow" w:hAnsi="Arial Narrow"/>
          <w:sz w:val="22"/>
          <w:szCs w:val="22"/>
        </w:rPr>
      </w:pPr>
      <w:r>
        <w:rPr>
          <w:rFonts w:ascii="Arial Narrow" w:hAnsi="Arial Narrow"/>
          <w:sz w:val="22"/>
          <w:szCs w:val="22"/>
        </w:rPr>
        <w:t>Średnie ceny jednostkowe nieruchomości przeznaczonych pod zabudowę o powierzchniach do 1500m</w:t>
      </w:r>
      <w:r>
        <w:rPr>
          <w:rFonts w:ascii="Arial Narrow" w:hAnsi="Arial Narrow"/>
          <w:sz w:val="22"/>
          <w:szCs w:val="22"/>
          <w:vertAlign w:val="superscript"/>
        </w:rPr>
        <w:t>2</w:t>
      </w:r>
      <w:r>
        <w:rPr>
          <w:rFonts w:ascii="Arial Narrow" w:hAnsi="Arial Narrow"/>
          <w:sz w:val="22"/>
          <w:szCs w:val="22"/>
        </w:rPr>
        <w:t xml:space="preserve"> znajdowały się w przedziale ok. 70-212zł, cena średnia z 45 transakcji dotyczących nieruchomości o powierzchniach 203m</w:t>
      </w:r>
      <w:r>
        <w:rPr>
          <w:rFonts w:ascii="Arial Narrow" w:hAnsi="Arial Narrow"/>
          <w:sz w:val="22"/>
          <w:szCs w:val="22"/>
          <w:vertAlign w:val="superscript"/>
        </w:rPr>
        <w:t>2</w:t>
      </w:r>
      <w:r>
        <w:rPr>
          <w:rFonts w:ascii="Arial Narrow" w:hAnsi="Arial Narrow"/>
          <w:sz w:val="22"/>
          <w:szCs w:val="22"/>
        </w:rPr>
        <w:t>-1500m</w:t>
      </w:r>
      <w:r>
        <w:rPr>
          <w:rFonts w:ascii="Arial Narrow" w:hAnsi="Arial Narrow"/>
          <w:sz w:val="22"/>
          <w:szCs w:val="22"/>
          <w:vertAlign w:val="superscript"/>
        </w:rPr>
        <w:t>2</w:t>
      </w:r>
      <w:r>
        <w:rPr>
          <w:rFonts w:ascii="Arial Narrow" w:hAnsi="Arial Narrow"/>
          <w:sz w:val="22"/>
          <w:szCs w:val="22"/>
        </w:rPr>
        <w:t xml:space="preserve"> wynosiła 122zł, mediana – 109zł. Najwyższa cena 212zł/m</w:t>
      </w:r>
      <w:r>
        <w:rPr>
          <w:rFonts w:ascii="Arial Narrow" w:hAnsi="Arial Narrow"/>
          <w:sz w:val="22"/>
          <w:szCs w:val="22"/>
          <w:vertAlign w:val="superscript"/>
        </w:rPr>
        <w:t>2</w:t>
      </w:r>
      <w:r>
        <w:rPr>
          <w:rFonts w:ascii="Arial Narrow" w:hAnsi="Arial Narrow"/>
          <w:sz w:val="22"/>
          <w:szCs w:val="22"/>
        </w:rPr>
        <w:t xml:space="preserve"> dotyczyła ogrodzonej działki o powierzchni 943m</w:t>
      </w:r>
      <w:r>
        <w:rPr>
          <w:rFonts w:ascii="Arial Narrow" w:hAnsi="Arial Narrow"/>
          <w:sz w:val="22"/>
          <w:szCs w:val="22"/>
          <w:vertAlign w:val="superscript"/>
        </w:rPr>
        <w:t>2</w:t>
      </w:r>
      <w:r>
        <w:rPr>
          <w:rFonts w:ascii="Arial Narrow" w:hAnsi="Arial Narrow"/>
          <w:sz w:val="22"/>
          <w:szCs w:val="22"/>
        </w:rPr>
        <w:t xml:space="preserve"> położonej na terenie zwartej zabudowy przy ul. Pułaskiego w miejscowości Sade Budy dla którego nie ma obowiązującego planu zagospodarowania przestrzennego, potencjalny pełny dostęp do infrastruktury; najniższa cena wynosiła 70zł/m</w:t>
      </w:r>
      <w:r>
        <w:rPr>
          <w:rFonts w:ascii="Arial Narrow" w:hAnsi="Arial Narrow"/>
          <w:sz w:val="22"/>
          <w:szCs w:val="22"/>
          <w:vertAlign w:val="superscript"/>
        </w:rPr>
        <w:t>2</w:t>
      </w:r>
      <w:r>
        <w:rPr>
          <w:rFonts w:ascii="Arial Narrow" w:hAnsi="Arial Narrow"/>
          <w:sz w:val="22"/>
          <w:szCs w:val="22"/>
        </w:rPr>
        <w:t xml:space="preserve"> (działka o powierzchni </w:t>
      </w:r>
      <w:r>
        <w:rPr>
          <w:rFonts w:cs="Arial" w:ascii="Arial Narrow" w:hAnsi="Arial Narrow"/>
          <w:color w:val="000000"/>
          <w:sz w:val="22"/>
          <w:szCs w:val="22"/>
        </w:rPr>
        <w:t>1094m</w:t>
      </w:r>
      <w:r>
        <w:rPr>
          <w:rFonts w:cs="Arial" w:ascii="Arial Narrow" w:hAnsi="Arial Narrow"/>
          <w:color w:val="000000"/>
          <w:sz w:val="22"/>
          <w:szCs w:val="22"/>
          <w:vertAlign w:val="superscript"/>
        </w:rPr>
        <w:t>2</w:t>
      </w:r>
      <w:r>
        <w:rPr>
          <w:rFonts w:cs="Arial" w:ascii="Arial Narrow" w:hAnsi="Arial Narrow"/>
          <w:color w:val="000000"/>
          <w:sz w:val="22"/>
          <w:szCs w:val="22"/>
        </w:rPr>
        <w:t xml:space="preserve"> położona przy ul. Sygietyńskiego w miejscowości Stare Budy, brak obowiązującego planu zagospodarowania przestrzennego, na działce słup energetyczny, potencjalny dostęp do linii energetycznej i wodociągu).</w:t>
      </w:r>
      <w:r>
        <w:rPr>
          <w:rFonts w:ascii="Arial Narrow" w:hAnsi="Arial Narrow"/>
          <w:sz w:val="22"/>
          <w:szCs w:val="22"/>
        </w:rPr>
        <w:t xml:space="preserve"> Średnia arytmetyczna powierzchni sprzedawanych nieruchomości wynosiła 1122m</w:t>
      </w:r>
      <w:r>
        <w:rPr>
          <w:rFonts w:ascii="Arial Narrow" w:hAnsi="Arial Narrow"/>
          <w:sz w:val="22"/>
          <w:szCs w:val="22"/>
          <w:vertAlign w:val="superscript"/>
        </w:rPr>
        <w:t>2</w:t>
      </w:r>
      <w:r>
        <w:rPr>
          <w:rFonts w:ascii="Arial Narrow" w:hAnsi="Arial Narrow"/>
          <w:sz w:val="22"/>
          <w:szCs w:val="22"/>
        </w:rPr>
        <w:t>, mediana powierzchni – 1045m</w:t>
      </w:r>
      <w:r>
        <w:rPr>
          <w:rFonts w:ascii="Arial Narrow" w:hAnsi="Arial Narrow"/>
          <w:sz w:val="22"/>
          <w:szCs w:val="22"/>
          <w:vertAlign w:val="superscript"/>
        </w:rPr>
        <w:t>2</w:t>
      </w:r>
      <w:r>
        <w:rPr>
          <w:rFonts w:ascii="Arial Narrow" w:hAnsi="Arial Narrow"/>
          <w:sz w:val="22"/>
          <w:szCs w:val="22"/>
        </w:rPr>
        <w:t>. Średnia arytmetyczna cen jednostkowych działek położonych w pobliżu tzw. centrum gminy bez ograniczenia powierzchni wynosiła 188zł.</w:t>
      </w:r>
    </w:p>
    <w:p>
      <w:pPr>
        <w:pStyle w:val="Normal"/>
        <w:jc w:val="both"/>
        <w:rPr>
          <w:rFonts w:ascii="Arial Narrow" w:hAnsi="Arial Narrow"/>
          <w:sz w:val="22"/>
          <w:szCs w:val="22"/>
        </w:rPr>
      </w:pPr>
      <w:r>
        <w:rPr>
          <w:rFonts w:ascii="Arial Narrow" w:hAnsi="Arial Narrow"/>
          <w:sz w:val="22"/>
          <w:szCs w:val="22"/>
        </w:rPr>
      </w:r>
    </w:p>
    <w:p>
      <w:pPr>
        <w:pStyle w:val="Normal"/>
        <w:jc w:val="both"/>
        <w:rPr>
          <w:rFonts w:ascii="Arial Narrow" w:hAnsi="Arial Narrow"/>
          <w:sz w:val="22"/>
          <w:szCs w:val="22"/>
        </w:rPr>
      </w:pPr>
      <w:r>
        <w:rPr>
          <w:rFonts w:ascii="Arial Narrow" w:hAnsi="Arial Narrow"/>
          <w:sz w:val="22"/>
          <w:szCs w:val="22"/>
        </w:rPr>
      </w:r>
    </w:p>
    <w:p>
      <w:pPr>
        <w:pStyle w:val="Normal"/>
        <w:jc w:val="both"/>
        <w:rPr>
          <w:rFonts w:ascii="Arial Narrow" w:hAnsi="Arial Narrow"/>
          <w:b/>
          <w:b/>
          <w:sz w:val="22"/>
        </w:rPr>
      </w:pPr>
      <w:r>
        <w:rPr>
          <w:rFonts w:ascii="Arial Narrow" w:hAnsi="Arial Narrow"/>
          <w:b/>
          <w:bCs/>
          <w:sz w:val="22"/>
        </w:rPr>
        <w:t>2.2.  Horyzont prognozy</w:t>
      </w:r>
    </w:p>
    <w:p>
      <w:pPr>
        <w:pStyle w:val="Normal"/>
        <w:jc w:val="both"/>
        <w:rPr>
          <w:b/>
          <w:b/>
          <w:sz w:val="16"/>
        </w:rPr>
      </w:pPr>
      <w:r>
        <w:rPr>
          <w:b/>
          <w:sz w:val="16"/>
        </w:rPr>
      </w:r>
    </w:p>
    <w:p>
      <w:pPr>
        <w:pStyle w:val="Normal"/>
        <w:jc w:val="both"/>
        <w:rPr>
          <w:rFonts w:ascii="Arial Narrow" w:hAnsi="Arial Narrow"/>
          <w:sz w:val="22"/>
          <w:szCs w:val="22"/>
        </w:rPr>
      </w:pPr>
      <w:r>
        <w:rPr>
          <w:rFonts w:ascii="Arial Narrow" w:hAnsi="Arial Narrow"/>
          <w:sz w:val="22"/>
          <w:szCs w:val="22"/>
        </w:rPr>
        <w:t>Zgodnie z art. 37 ustawy o planowaniu i zagospodarowaniu przestrzennym roszczenia wynikające z art. 36 mogą być zgłaszane w okresie do 5 lat od uchwalenia planu, dlatego przyjęto pięcioletni okres prognozy. Otrzymane  wartości z kolejnych lat zbilansowano na dzień wykonywania opracowania, tj. grudzień 2022r.</w:t>
      </w:r>
    </w:p>
    <w:p>
      <w:pPr>
        <w:pStyle w:val="Normal"/>
        <w:jc w:val="both"/>
        <w:rPr>
          <w:rFonts w:ascii="Arial Narrow" w:hAnsi="Arial Narrow"/>
          <w:sz w:val="22"/>
          <w:szCs w:val="22"/>
        </w:rPr>
      </w:pPr>
      <w:r>
        <w:rPr>
          <w:rFonts w:ascii="Arial Narrow" w:hAnsi="Arial Narrow"/>
          <w:sz w:val="22"/>
          <w:szCs w:val="22"/>
        </w:rPr>
      </w:r>
    </w:p>
    <w:p>
      <w:pPr>
        <w:pStyle w:val="ListParagraph"/>
        <w:numPr>
          <w:ilvl w:val="0"/>
          <w:numId w:val="4"/>
        </w:numPr>
        <w:pBdr>
          <w:top w:val="single" w:sz="4" w:space="1" w:color="000000"/>
          <w:left w:val="single" w:sz="4" w:space="4" w:color="000000"/>
          <w:bottom w:val="single" w:sz="4" w:space="1" w:color="000000"/>
          <w:right w:val="single" w:sz="4" w:space="4" w:color="000000"/>
        </w:pBdr>
        <w:jc w:val="both"/>
        <w:rPr>
          <w:rFonts w:ascii="Arial Narrow" w:hAnsi="Arial Narrow"/>
          <w:b/>
          <w:b/>
          <w:bCs/>
          <w:sz w:val="24"/>
        </w:rPr>
      </w:pPr>
      <w:r>
        <w:rPr>
          <w:rFonts w:ascii="Arial Narrow" w:hAnsi="Arial Narrow"/>
          <w:b/>
          <w:bCs/>
          <w:sz w:val="24"/>
        </w:rPr>
        <w:t>CHARAKTERYSTYKA OBSZARU OBJĘTEGO PLANEM</w:t>
      </w:r>
    </w:p>
    <w:p>
      <w:pPr>
        <w:pStyle w:val="Normal"/>
        <w:jc w:val="both"/>
        <w:rPr>
          <w:rFonts w:ascii="Arial Narrow" w:hAnsi="Arial Narrow"/>
          <w:b/>
          <w:b/>
          <w:sz w:val="22"/>
        </w:rPr>
      </w:pPr>
      <w:r>
        <w:rPr>
          <w:rFonts w:ascii="Arial Narrow" w:hAnsi="Arial Narrow"/>
          <w:b/>
          <w:sz w:val="22"/>
        </w:rPr>
      </w:r>
    </w:p>
    <w:p>
      <w:pPr>
        <w:pStyle w:val="Normal"/>
        <w:jc w:val="both"/>
        <w:rPr>
          <w:rFonts w:ascii="Arial Narrow" w:hAnsi="Arial Narrow"/>
          <w:b/>
          <w:b/>
          <w:sz w:val="22"/>
        </w:rPr>
      </w:pPr>
      <w:r>
        <w:rPr>
          <w:rFonts w:ascii="Arial Narrow" w:hAnsi="Arial Narrow"/>
          <w:b/>
          <w:sz w:val="22"/>
        </w:rPr>
      </w:r>
    </w:p>
    <w:p>
      <w:pPr>
        <w:pStyle w:val="Normal"/>
        <w:jc w:val="both"/>
        <w:rPr>
          <w:rFonts w:ascii="Arial Narrow" w:hAnsi="Arial Narrow"/>
          <w:b/>
          <w:b/>
          <w:sz w:val="22"/>
        </w:rPr>
      </w:pPr>
      <w:r>
        <w:rPr>
          <w:rFonts w:ascii="Arial Narrow" w:hAnsi="Arial Narrow"/>
          <w:b/>
          <w:sz w:val="22"/>
        </w:rPr>
      </w:r>
    </w:p>
    <w:p>
      <w:pPr>
        <w:pStyle w:val="ListParagraph"/>
        <w:numPr>
          <w:ilvl w:val="1"/>
          <w:numId w:val="4"/>
        </w:numPr>
        <w:rPr>
          <w:rFonts w:ascii="Arial Narrow" w:hAnsi="Arial Narrow"/>
          <w:b/>
          <w:b/>
          <w:bCs/>
          <w:sz w:val="22"/>
        </w:rPr>
      </w:pPr>
      <w:r>
        <w:rPr>
          <w:rFonts w:ascii="Arial Narrow" w:hAnsi="Arial Narrow"/>
          <w:b/>
          <w:bCs/>
          <w:sz w:val="22"/>
        </w:rPr>
        <w:t>Struktura własności</w:t>
      </w:r>
    </w:p>
    <w:p>
      <w:pPr>
        <w:pStyle w:val="Normal"/>
        <w:rPr>
          <w:rFonts w:ascii="Arial Narrow" w:hAnsi="Arial Narrow"/>
          <w:b/>
          <w:b/>
          <w:bCs/>
          <w:sz w:val="16"/>
          <w:szCs w:val="16"/>
        </w:rPr>
      </w:pPr>
      <w:r>
        <w:rPr>
          <w:rFonts w:ascii="Arial Narrow" w:hAnsi="Arial Narrow"/>
          <w:b/>
          <w:bCs/>
          <w:sz w:val="16"/>
          <w:szCs w:val="16"/>
        </w:rPr>
      </w:r>
    </w:p>
    <w:p>
      <w:pPr>
        <w:pStyle w:val="Normal"/>
        <w:jc w:val="both"/>
        <w:rPr>
          <w:rFonts w:ascii="Arial Narrow" w:hAnsi="Arial Narrow"/>
          <w:bCs/>
          <w:sz w:val="22"/>
        </w:rPr>
      </w:pPr>
      <w:r>
        <w:rPr>
          <w:rFonts w:ascii="Arial Narrow" w:hAnsi="Arial Narrow"/>
          <w:bCs/>
          <w:sz w:val="22"/>
        </w:rPr>
        <w:t>Projektem planu objęto</w:t>
      </w:r>
      <w:r>
        <w:rPr>
          <w:rFonts w:ascii="Arial Narrow" w:hAnsi="Arial Narrow"/>
          <w:color w:val="FF0000"/>
          <w:sz w:val="22"/>
          <w:szCs w:val="22"/>
        </w:rPr>
        <w:t xml:space="preserve"> </w:t>
      </w:r>
      <w:r>
        <w:rPr>
          <w:rFonts w:ascii="Arial Narrow" w:hAnsi="Arial Narrow"/>
          <w:bCs/>
          <w:sz w:val="22"/>
          <w:szCs w:val="22"/>
        </w:rPr>
        <w:t xml:space="preserve">obszar </w:t>
      </w:r>
      <w:r>
        <w:rPr>
          <w:rFonts w:ascii="Arial Narrow" w:hAnsi="Arial Narrow"/>
          <w:sz w:val="22"/>
          <w:szCs w:val="22"/>
        </w:rPr>
        <w:t>o powierzchni około 2ha obejmujący obszar położony w Chylicach, ograniczony fragmentem południowej granicy działki nr ewid. 215 (droga gminna ul. Słoneczna), fragmentem zachodniej granicy działki nr ewid. 166/2 (droga gminna nr 150307W ulica Alpejska), południowymi granicami działek nr ewid. 221/5, 221/6 oraz fragmentem wschodniej granicy działki 294/15 (rów)</w:t>
      </w:r>
      <w:r>
        <w:rPr>
          <w:rFonts w:ascii="Arial Narrow" w:hAnsi="Arial Narrow"/>
          <w:bCs/>
          <w:sz w:val="22"/>
        </w:rPr>
        <w:t>. Poniżej umieszczono orientacyjną mapę terenu objętego projektowanym planem zagospodarowania przestrzennego.</w:t>
      </w:r>
    </w:p>
    <w:p>
      <w:pPr>
        <w:pStyle w:val="Normal"/>
        <w:rPr>
          <w:rFonts w:ascii="Arial Narrow" w:hAnsi="Arial Narrow"/>
          <w:b/>
          <w:b/>
          <w:bCs/>
          <w:sz w:val="16"/>
          <w:szCs w:val="16"/>
        </w:rPr>
      </w:pPr>
      <w:r>
        <w:rPr>
          <w:rFonts w:ascii="Arial Narrow" w:hAnsi="Arial Narrow"/>
          <w:b/>
          <w:bCs/>
          <w:sz w:val="16"/>
          <w:szCs w:val="16"/>
        </w:rPr>
      </w:r>
    </w:p>
    <w:p>
      <w:pPr>
        <w:pStyle w:val="Normal"/>
        <w:rPr>
          <w:rFonts w:ascii="Arial Narrow" w:hAnsi="Arial Narrow"/>
          <w:b/>
          <w:b/>
          <w:bCs/>
          <w:sz w:val="16"/>
          <w:szCs w:val="16"/>
        </w:rPr>
      </w:pPr>
      <w:r>
        <w:rPr/>
        <w:drawing>
          <wp:inline distT="0" distB="0" distL="0" distR="0">
            <wp:extent cx="5760720" cy="3073400"/>
            <wp:effectExtent l="0" t="0" r="0" b="0"/>
            <wp:docPr id="15" name="Obraz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6" descr=""/>
                    <pic:cNvPicPr>
                      <a:picLocks noChangeAspect="1" noChangeArrowheads="1"/>
                    </pic:cNvPicPr>
                  </pic:nvPicPr>
                  <pic:blipFill>
                    <a:blip r:embed="rId17"/>
                    <a:srcRect l="19316" t="25637" r="24884" b="21438"/>
                    <a:stretch>
                      <a:fillRect/>
                    </a:stretch>
                  </pic:blipFill>
                  <pic:spPr bwMode="auto">
                    <a:xfrm>
                      <a:off x="0" y="0"/>
                      <a:ext cx="5760720" cy="3073400"/>
                    </a:xfrm>
                    <a:prstGeom prst="rect">
                      <a:avLst/>
                    </a:prstGeom>
                  </pic:spPr>
                </pic:pic>
              </a:graphicData>
            </a:graphic>
          </wp:inline>
        </w:drawing>
      </w:r>
    </w:p>
    <w:p>
      <w:pPr>
        <w:pStyle w:val="Normal"/>
        <w:rPr>
          <w:rFonts w:ascii="Arial Narrow" w:hAnsi="Arial Narrow"/>
          <w:bCs/>
          <w:sz w:val="22"/>
        </w:rPr>
      </w:pPr>
      <w:r>
        <w:rPr>
          <w:rFonts w:ascii="Arial Narrow" w:hAnsi="Arial Narrow"/>
          <w:bCs/>
          <w:sz w:val="22"/>
        </w:rPr>
        <w:t>Orientacyjna mapa terenu objętego planem (ze strony internetowej geoportal.gov)</w:t>
      </w:r>
    </w:p>
    <w:p>
      <w:pPr>
        <w:pStyle w:val="Normal"/>
        <w:jc w:val="center"/>
        <w:rPr>
          <w:rFonts w:ascii="Arial Narrow" w:hAnsi="Arial Narrow"/>
          <w:b/>
          <w:b/>
          <w:bCs/>
          <w:sz w:val="22"/>
        </w:rPr>
      </w:pPr>
      <w:r>
        <w:rPr>
          <w:rFonts w:ascii="Arial Narrow" w:hAnsi="Arial Narrow"/>
          <w:b/>
          <w:bCs/>
          <w:sz w:val="22"/>
        </w:rPr>
      </w:r>
    </w:p>
    <w:p>
      <w:pPr>
        <w:pStyle w:val="Normal"/>
        <w:jc w:val="center"/>
        <w:rPr>
          <w:rFonts w:ascii="Arial Narrow" w:hAnsi="Arial Narrow"/>
          <w:b/>
          <w:b/>
          <w:bCs/>
          <w:sz w:val="22"/>
        </w:rPr>
      </w:pPr>
      <w:r>
        <w:rPr>
          <w:rFonts w:ascii="Arial Narrow" w:hAnsi="Arial Narrow"/>
          <w:b/>
          <w:bCs/>
          <w:sz w:val="22"/>
        </w:rPr>
      </w:r>
    </w:p>
    <w:p>
      <w:pPr>
        <w:pStyle w:val="Normal"/>
        <w:jc w:val="center"/>
        <w:rPr>
          <w:rFonts w:ascii="Arial Narrow" w:hAnsi="Arial Narrow"/>
          <w:b/>
          <w:b/>
          <w:bCs/>
          <w:sz w:val="22"/>
        </w:rPr>
      </w:pPr>
      <w:r>
        <w:rPr>
          <w:rFonts w:ascii="Arial Narrow" w:hAnsi="Arial Narrow"/>
          <w:b/>
          <w:bCs/>
          <w:sz w:val="22"/>
        </w:rPr>
      </w:r>
    </w:p>
    <w:p>
      <w:pPr>
        <w:pStyle w:val="ListParagraph"/>
        <w:numPr>
          <w:ilvl w:val="1"/>
          <w:numId w:val="4"/>
        </w:numPr>
        <w:rPr>
          <w:rFonts w:ascii="Arial Narrow" w:hAnsi="Arial Narrow"/>
          <w:b/>
          <w:b/>
          <w:bCs/>
          <w:sz w:val="22"/>
        </w:rPr>
      </w:pPr>
      <w:r>
        <w:rPr>
          <w:rFonts w:ascii="Arial Narrow" w:hAnsi="Arial Narrow"/>
          <w:b/>
          <w:bCs/>
          <w:sz w:val="22"/>
        </w:rPr>
        <w:t>Zamierzenia planistyczne</w:t>
      </w:r>
    </w:p>
    <w:p>
      <w:pPr>
        <w:pStyle w:val="Normal"/>
        <w:jc w:val="both"/>
        <w:rPr>
          <w:rFonts w:ascii="Arial Narrow" w:hAnsi="Arial Narrow"/>
          <w:sz w:val="16"/>
        </w:rPr>
      </w:pPr>
      <w:r>
        <w:rPr>
          <w:rFonts w:ascii="Arial Narrow" w:hAnsi="Arial Narrow"/>
          <w:sz w:val="16"/>
        </w:rPr>
      </w:r>
    </w:p>
    <w:p>
      <w:pPr>
        <w:pStyle w:val="Tretekstu"/>
        <w:spacing w:lineRule="auto" w:line="240"/>
        <w:rPr>
          <w:bCs/>
        </w:rPr>
      </w:pPr>
      <w:r>
        <w:rPr>
          <w:bCs/>
          <w:szCs w:val="22"/>
        </w:rPr>
        <w:t>W chwili obecnej dla terenu objętego niniejszym opracowaniem w Chylicach obowiązuje miejscowy plan zagospodarowania przestrzennego zatwierdzony Uchwałą Nr XII/81/2003 Rady Gminy w Jaktorowie z dnia 30.06.2003r. opublikowany w Dzienniku Urzędowym Województwa Mazowieckiego nr 43 z dnia 01.03.2004 poz.1237. Zgodnie z przeznaczeniem ww. planu teren objęty opracowaniem leżał na terenie zabudowy mieszkaniowej jednorodzinnej oraz dróg dojazdowych i wewnętrznych</w:t>
      </w:r>
      <w:r>
        <w:rPr>
          <w:bCs/>
        </w:rPr>
        <w:t>. W projektowanym miejscowym planie zagospodarowania przestrzennego, dla obszaru objętego projektowanym planem</w:t>
      </w:r>
      <w:r>
        <w:rPr>
          <w:bCs/>
          <w:szCs w:val="22"/>
        </w:rPr>
        <w:t xml:space="preserve">, </w:t>
      </w:r>
      <w:r>
        <w:rPr>
          <w:bCs/>
        </w:rPr>
        <w:t>ustalono tereny o przeznaczeniu zaprezentowanym w tabeli nr 2.</w:t>
      </w:r>
    </w:p>
    <w:p>
      <w:pPr>
        <w:pStyle w:val="Normal"/>
        <w:jc w:val="both"/>
        <w:rPr>
          <w:rFonts w:ascii="Arial Narrow" w:hAnsi="Arial Narrow"/>
          <w:bCs/>
          <w:sz w:val="16"/>
          <w:szCs w:val="16"/>
        </w:rPr>
      </w:pPr>
      <w:r>
        <w:rPr>
          <w:rFonts w:ascii="Arial Narrow" w:hAnsi="Arial Narrow"/>
          <w:bCs/>
          <w:sz w:val="16"/>
          <w:szCs w:val="16"/>
        </w:rPr>
      </w:r>
    </w:p>
    <w:tbl>
      <w:tblPr>
        <w:tblW w:w="9199"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418"/>
        <w:gridCol w:w="1128"/>
        <w:gridCol w:w="6093"/>
        <w:gridCol w:w="1559"/>
      </w:tblGrid>
      <w:tr>
        <w:trPr/>
        <w:tc>
          <w:tcPr>
            <w:tcW w:w="418" w:type="dxa"/>
            <w:tcBorders>
              <w:left w:val="single" w:sz="12" w:space="0" w:color="000000"/>
              <w:bottom w:val="single" w:sz="6" w:space="0" w:color="000000"/>
              <w:right w:val="single" w:sz="6" w:space="0" w:color="000000"/>
            </w:tcBorders>
            <w:shd w:color="C0C0C0" w:fill="FFFFFF" w:val="pct30"/>
          </w:tcPr>
          <w:p>
            <w:pPr>
              <w:pStyle w:val="Normal"/>
              <w:widowControl w:val="false"/>
              <w:jc w:val="both"/>
              <w:rPr>
                <w:rFonts w:ascii="Arial Narrow" w:hAnsi="Arial Narrow"/>
                <w:sz w:val="22"/>
              </w:rPr>
            </w:pPr>
            <w:r>
              <w:rPr>
                <w:rFonts w:ascii="Arial Narrow" w:hAnsi="Arial Narrow"/>
                <w:sz w:val="22"/>
              </w:rPr>
              <w:t>nr</w:t>
            </w:r>
          </w:p>
        </w:tc>
        <w:tc>
          <w:tcPr>
            <w:tcW w:w="1128" w:type="dxa"/>
            <w:tcBorders>
              <w:left w:val="single" w:sz="6" w:space="0" w:color="000000"/>
              <w:bottom w:val="single" w:sz="6" w:space="0" w:color="000000"/>
              <w:right w:val="single" w:sz="6" w:space="0" w:color="000000"/>
            </w:tcBorders>
            <w:shd w:color="C0C0C0" w:fill="FFFFFF" w:val="pct30"/>
          </w:tcPr>
          <w:p>
            <w:pPr>
              <w:pStyle w:val="Normal"/>
              <w:widowControl w:val="false"/>
              <w:rPr>
                <w:rFonts w:ascii="Arial Narrow" w:hAnsi="Arial Narrow"/>
                <w:sz w:val="22"/>
              </w:rPr>
            </w:pPr>
            <w:r>
              <w:rPr>
                <w:rFonts w:ascii="Arial Narrow" w:hAnsi="Arial Narrow"/>
                <w:sz w:val="22"/>
              </w:rPr>
              <w:t>Symbol</w:t>
            </w:r>
          </w:p>
        </w:tc>
        <w:tc>
          <w:tcPr>
            <w:tcW w:w="6093" w:type="dxa"/>
            <w:tcBorders>
              <w:left w:val="single" w:sz="6" w:space="0" w:color="000000"/>
              <w:bottom w:val="single" w:sz="6" w:space="0" w:color="000000"/>
              <w:right w:val="single" w:sz="6" w:space="0" w:color="000000"/>
            </w:tcBorders>
            <w:shd w:color="C0C0C0" w:fill="FFFFFF" w:val="pct30"/>
          </w:tcPr>
          <w:p>
            <w:pPr>
              <w:pStyle w:val="Normal"/>
              <w:widowControl w:val="false"/>
              <w:rPr>
                <w:rFonts w:ascii="Arial Narrow" w:hAnsi="Arial Narrow"/>
                <w:sz w:val="22"/>
              </w:rPr>
            </w:pPr>
            <w:r>
              <w:rPr>
                <w:rFonts w:ascii="Arial Narrow" w:hAnsi="Arial Narrow"/>
                <w:sz w:val="22"/>
              </w:rPr>
              <w:t>Rodzaj podstawowego przeznaczenia terenu</w:t>
            </w:r>
          </w:p>
        </w:tc>
        <w:tc>
          <w:tcPr>
            <w:tcW w:w="1559" w:type="dxa"/>
            <w:tcBorders>
              <w:left w:val="single" w:sz="6" w:space="0" w:color="000000"/>
              <w:bottom w:val="single" w:sz="6" w:space="0" w:color="000000"/>
              <w:right w:val="single" w:sz="12" w:space="0" w:color="000000"/>
            </w:tcBorders>
            <w:shd w:color="C0C0C0" w:fill="FFFFFF" w:val="pct30"/>
          </w:tcPr>
          <w:p>
            <w:pPr>
              <w:pStyle w:val="Normal"/>
              <w:widowControl w:val="false"/>
              <w:jc w:val="both"/>
              <w:rPr>
                <w:rFonts w:ascii="Arial Narrow" w:hAnsi="Arial Narrow"/>
                <w:sz w:val="22"/>
              </w:rPr>
            </w:pPr>
            <w:r>
              <w:rPr>
                <w:rFonts w:ascii="Arial Narrow" w:hAnsi="Arial Narrow"/>
                <w:sz w:val="22"/>
              </w:rPr>
              <w:t>Powierzchnia [ha]</w:t>
            </w:r>
          </w:p>
        </w:tc>
      </w:tr>
      <w:tr>
        <w:trPr/>
        <w:tc>
          <w:tcPr>
            <w:tcW w:w="418" w:type="dxa"/>
            <w:tcBorders>
              <w:top w:val="single" w:sz="6" w:space="0" w:color="000000"/>
              <w:left w:val="single" w:sz="12" w:space="0" w:color="000000"/>
              <w:bottom w:val="single" w:sz="6" w:space="0" w:color="000000"/>
              <w:right w:val="single" w:sz="6" w:space="0" w:color="000000"/>
            </w:tcBorders>
          </w:tcPr>
          <w:p>
            <w:pPr>
              <w:pStyle w:val="Normal"/>
              <w:widowControl w:val="false"/>
              <w:jc w:val="both"/>
              <w:rPr>
                <w:rFonts w:ascii="Arial Narrow" w:hAnsi="Arial Narrow"/>
                <w:sz w:val="22"/>
              </w:rPr>
            </w:pPr>
            <w:r>
              <w:rPr>
                <w:rFonts w:ascii="Arial Narrow" w:hAnsi="Arial Narrow"/>
                <w:sz w:val="22"/>
              </w:rPr>
              <w:t>1</w:t>
            </w:r>
          </w:p>
        </w:tc>
        <w:tc>
          <w:tcPr>
            <w:tcW w:w="1128"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rPr>
                <w:rFonts w:ascii="Arial Narrow" w:hAnsi="Arial Narrow" w:cs="Calibri"/>
                <w:b/>
                <w:b/>
                <w:color w:val="000000"/>
                <w:sz w:val="22"/>
                <w:szCs w:val="22"/>
              </w:rPr>
            </w:pPr>
            <w:r>
              <w:rPr>
                <w:rFonts w:cs="Calibri" w:ascii="Arial Narrow" w:hAnsi="Arial Narrow"/>
                <w:b/>
                <w:color w:val="000000"/>
                <w:sz w:val="22"/>
                <w:szCs w:val="22"/>
              </w:rPr>
              <w:t>MN</w:t>
            </w:r>
          </w:p>
        </w:tc>
        <w:tc>
          <w:tcPr>
            <w:tcW w:w="6093"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Arial Narrow" w:hAnsi="Arial Narrow"/>
                <w:sz w:val="22"/>
              </w:rPr>
            </w:pPr>
            <w:r>
              <w:rPr>
                <w:rFonts w:ascii="Arial Narrow" w:hAnsi="Arial Narrow"/>
                <w:sz w:val="22"/>
              </w:rPr>
              <w:t xml:space="preserve">Tereny zabudowy mieszkaniowej jednorodzinnej </w:t>
            </w:r>
          </w:p>
        </w:tc>
        <w:tc>
          <w:tcPr>
            <w:tcW w:w="1559" w:type="dxa"/>
            <w:tcBorders>
              <w:top w:val="single" w:sz="6" w:space="0" w:color="000000"/>
              <w:left w:val="single" w:sz="6" w:space="0" w:color="000000"/>
              <w:bottom w:val="single" w:sz="6" w:space="0" w:color="000000"/>
              <w:right w:val="single" w:sz="12" w:space="0" w:color="000000"/>
            </w:tcBorders>
            <w:vAlign w:val="bottom"/>
          </w:tcPr>
          <w:p>
            <w:pPr>
              <w:pStyle w:val="Normal"/>
              <w:widowControl w:val="false"/>
              <w:jc w:val="center"/>
              <w:rPr>
                <w:rFonts w:ascii="Arial Narrow" w:hAnsi="Arial Narrow" w:cs="Calibri"/>
                <w:color w:val="000000"/>
                <w:sz w:val="22"/>
                <w:szCs w:val="22"/>
              </w:rPr>
            </w:pPr>
            <w:r>
              <w:rPr>
                <w:rFonts w:cs="Calibri" w:ascii="Arial Narrow" w:hAnsi="Arial Narrow"/>
                <w:color w:val="000000"/>
                <w:sz w:val="22"/>
                <w:szCs w:val="22"/>
              </w:rPr>
              <w:t>ok. 1,16</w:t>
            </w:r>
          </w:p>
        </w:tc>
      </w:tr>
      <w:tr>
        <w:trPr/>
        <w:tc>
          <w:tcPr>
            <w:tcW w:w="418" w:type="dxa"/>
            <w:tcBorders>
              <w:top w:val="single" w:sz="6" w:space="0" w:color="000000"/>
              <w:left w:val="single" w:sz="12" w:space="0" w:color="000000"/>
              <w:bottom w:val="single" w:sz="6" w:space="0" w:color="000000"/>
              <w:right w:val="single" w:sz="6" w:space="0" w:color="000000"/>
            </w:tcBorders>
          </w:tcPr>
          <w:p>
            <w:pPr>
              <w:pStyle w:val="Normal"/>
              <w:widowControl w:val="false"/>
              <w:jc w:val="both"/>
              <w:rPr>
                <w:rFonts w:ascii="Arial Narrow" w:hAnsi="Arial Narrow"/>
                <w:sz w:val="22"/>
              </w:rPr>
            </w:pPr>
            <w:r>
              <w:rPr>
                <w:rFonts w:ascii="Arial Narrow" w:hAnsi="Arial Narrow"/>
                <w:sz w:val="22"/>
              </w:rPr>
              <w:t>2</w:t>
            </w:r>
          </w:p>
        </w:tc>
        <w:tc>
          <w:tcPr>
            <w:tcW w:w="1128"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rPr>
                <w:rFonts w:ascii="Arial Narrow" w:hAnsi="Arial Narrow" w:cs="Calibri"/>
                <w:b/>
                <w:b/>
                <w:color w:val="000000"/>
                <w:sz w:val="22"/>
                <w:szCs w:val="22"/>
              </w:rPr>
            </w:pPr>
            <w:r>
              <w:rPr>
                <w:rFonts w:cs="Calibri" w:ascii="Arial Narrow" w:hAnsi="Arial Narrow"/>
                <w:b/>
                <w:color w:val="000000"/>
                <w:sz w:val="22"/>
                <w:szCs w:val="22"/>
              </w:rPr>
              <w:t>KR, KDD</w:t>
            </w:r>
          </w:p>
        </w:tc>
        <w:tc>
          <w:tcPr>
            <w:tcW w:w="6093"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Arial Narrow" w:hAnsi="Arial Narrow"/>
                <w:sz w:val="22"/>
              </w:rPr>
            </w:pPr>
            <w:r>
              <w:rPr>
                <w:rFonts w:ascii="Arial Narrow" w:hAnsi="Arial Narrow"/>
                <w:sz w:val="22"/>
              </w:rPr>
              <w:t>Tereny dróg dojazdowych i wewnętrznych</w:t>
            </w:r>
          </w:p>
        </w:tc>
        <w:tc>
          <w:tcPr>
            <w:tcW w:w="1559" w:type="dxa"/>
            <w:tcBorders>
              <w:top w:val="single" w:sz="6" w:space="0" w:color="000000"/>
              <w:left w:val="single" w:sz="6" w:space="0" w:color="000000"/>
              <w:bottom w:val="single" w:sz="6" w:space="0" w:color="000000"/>
              <w:right w:val="single" w:sz="12" w:space="0" w:color="000000"/>
            </w:tcBorders>
            <w:vAlign w:val="bottom"/>
          </w:tcPr>
          <w:p>
            <w:pPr>
              <w:pStyle w:val="Normal"/>
              <w:widowControl w:val="false"/>
              <w:jc w:val="center"/>
              <w:rPr>
                <w:rFonts w:ascii="Arial Narrow" w:hAnsi="Arial Narrow" w:cs="Calibri"/>
                <w:color w:val="000000"/>
                <w:sz w:val="22"/>
                <w:szCs w:val="22"/>
              </w:rPr>
            </w:pPr>
            <w:r>
              <w:rPr>
                <w:rFonts w:cs="Calibri" w:ascii="Arial Narrow" w:hAnsi="Arial Narrow"/>
                <w:color w:val="000000"/>
                <w:sz w:val="22"/>
                <w:szCs w:val="22"/>
              </w:rPr>
              <w:t>ok. 0,28</w:t>
            </w:r>
          </w:p>
        </w:tc>
      </w:tr>
      <w:tr>
        <w:trPr/>
        <w:tc>
          <w:tcPr>
            <w:tcW w:w="418" w:type="dxa"/>
            <w:tcBorders>
              <w:top w:val="single" w:sz="6" w:space="0" w:color="000000"/>
              <w:left w:val="single" w:sz="12" w:space="0" w:color="000000"/>
              <w:bottom w:val="single" w:sz="6" w:space="0" w:color="000000"/>
              <w:right w:val="single" w:sz="6" w:space="0" w:color="000000"/>
            </w:tcBorders>
          </w:tcPr>
          <w:p>
            <w:pPr>
              <w:pStyle w:val="Normal"/>
              <w:widowControl w:val="false"/>
              <w:jc w:val="both"/>
              <w:rPr>
                <w:rFonts w:ascii="Arial Narrow" w:hAnsi="Arial Narrow"/>
                <w:sz w:val="22"/>
              </w:rPr>
            </w:pPr>
            <w:r>
              <w:rPr>
                <w:rFonts w:ascii="Arial Narrow" w:hAnsi="Arial Narrow"/>
                <w:sz w:val="22"/>
              </w:rPr>
              <w:t>3</w:t>
            </w:r>
          </w:p>
        </w:tc>
        <w:tc>
          <w:tcPr>
            <w:tcW w:w="1128"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rPr>
                <w:rFonts w:ascii="Arial Narrow" w:hAnsi="Arial Narrow" w:cs="Calibri"/>
                <w:b/>
                <w:b/>
                <w:color w:val="000000"/>
                <w:sz w:val="22"/>
                <w:szCs w:val="22"/>
              </w:rPr>
            </w:pPr>
            <w:r>
              <w:rPr>
                <w:rFonts w:cs="Calibri" w:ascii="Arial Narrow" w:hAnsi="Arial Narrow"/>
                <w:b/>
                <w:color w:val="000000"/>
                <w:sz w:val="22"/>
                <w:szCs w:val="22"/>
              </w:rPr>
              <w:t>1ZP</w:t>
            </w:r>
          </w:p>
        </w:tc>
        <w:tc>
          <w:tcPr>
            <w:tcW w:w="6093"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Arial Narrow" w:hAnsi="Arial Narrow"/>
                <w:sz w:val="22"/>
              </w:rPr>
            </w:pPr>
            <w:r>
              <w:rPr>
                <w:rFonts w:ascii="Arial Narrow" w:hAnsi="Arial Narrow"/>
                <w:sz w:val="22"/>
              </w:rPr>
              <w:t xml:space="preserve">Teren zieleni urządzonej, teren zieleni publicznej </w:t>
            </w:r>
          </w:p>
        </w:tc>
        <w:tc>
          <w:tcPr>
            <w:tcW w:w="1559" w:type="dxa"/>
            <w:tcBorders>
              <w:top w:val="single" w:sz="6" w:space="0" w:color="000000"/>
              <w:left w:val="single" w:sz="6" w:space="0" w:color="000000"/>
              <w:bottom w:val="single" w:sz="6" w:space="0" w:color="000000"/>
              <w:right w:val="single" w:sz="12" w:space="0" w:color="000000"/>
            </w:tcBorders>
            <w:vAlign w:val="bottom"/>
          </w:tcPr>
          <w:p>
            <w:pPr>
              <w:pStyle w:val="Normal"/>
              <w:widowControl w:val="false"/>
              <w:jc w:val="center"/>
              <w:rPr>
                <w:rFonts w:ascii="Arial Narrow" w:hAnsi="Arial Narrow" w:cs="Calibri"/>
                <w:color w:val="000000"/>
                <w:sz w:val="22"/>
                <w:szCs w:val="22"/>
              </w:rPr>
            </w:pPr>
            <w:r>
              <w:rPr>
                <w:rFonts w:cs="Calibri" w:ascii="Arial Narrow" w:hAnsi="Arial Narrow"/>
                <w:color w:val="000000"/>
                <w:sz w:val="22"/>
                <w:szCs w:val="22"/>
              </w:rPr>
              <w:t>ok. 0,56</w:t>
            </w:r>
          </w:p>
        </w:tc>
      </w:tr>
      <w:tr>
        <w:trPr>
          <w:trHeight w:val="255" w:hRule="atLeast"/>
        </w:trPr>
        <w:tc>
          <w:tcPr>
            <w:tcW w:w="7639" w:type="dxa"/>
            <w:gridSpan w:val="3"/>
            <w:tcBorders>
              <w:top w:val="single" w:sz="6" w:space="0" w:color="000000"/>
              <w:left w:val="single" w:sz="12" w:space="0" w:color="000000"/>
              <w:right w:val="single" w:sz="6" w:space="0" w:color="000000"/>
            </w:tcBorders>
          </w:tcPr>
          <w:p>
            <w:pPr>
              <w:pStyle w:val="Normal"/>
              <w:widowControl w:val="false"/>
              <w:rPr>
                <w:rFonts w:ascii="Arial Narrow" w:hAnsi="Arial Narrow"/>
                <w:sz w:val="22"/>
              </w:rPr>
            </w:pPr>
            <w:r>
              <w:rPr>
                <w:rFonts w:ascii="Arial Narrow" w:hAnsi="Arial Narrow"/>
                <w:sz w:val="22"/>
              </w:rPr>
              <w:t>Razem</w:t>
            </w:r>
          </w:p>
        </w:tc>
        <w:tc>
          <w:tcPr>
            <w:tcW w:w="1559" w:type="dxa"/>
            <w:tcBorders>
              <w:top w:val="single" w:sz="6" w:space="0" w:color="000000"/>
              <w:left w:val="single" w:sz="6" w:space="0" w:color="000000"/>
              <w:right w:val="single" w:sz="12" w:space="0" w:color="000000"/>
            </w:tcBorders>
          </w:tcPr>
          <w:p>
            <w:pPr>
              <w:pStyle w:val="Normal"/>
              <w:widowControl w:val="false"/>
              <w:jc w:val="center"/>
              <w:rPr>
                <w:rFonts w:ascii="Arial Narrow" w:hAnsi="Arial Narrow"/>
                <w:sz w:val="22"/>
              </w:rPr>
            </w:pPr>
            <w:r>
              <w:rPr>
                <w:rFonts w:ascii="Arial Narrow" w:hAnsi="Arial Narrow"/>
                <w:sz w:val="22"/>
              </w:rPr>
              <w:t>ok. 2,00</w:t>
            </w:r>
            <w:bookmarkStart w:id="13" w:name="_Hlk520359944"/>
            <w:bookmarkEnd w:id="13"/>
          </w:p>
        </w:tc>
      </w:tr>
    </w:tbl>
    <w:p>
      <w:pPr>
        <w:pStyle w:val="Normal"/>
        <w:jc w:val="both"/>
        <w:rPr>
          <w:rFonts w:ascii="Arial Narrow" w:hAnsi="Arial Narrow"/>
          <w:bCs/>
          <w:sz w:val="22"/>
        </w:rPr>
      </w:pPr>
      <w:r>
        <w:rPr>
          <w:rFonts w:ascii="Arial Narrow" w:hAnsi="Arial Narrow"/>
          <w:bCs/>
          <w:sz w:val="22"/>
        </w:rPr>
        <w:t>Tabela nr 2</w:t>
      </w:r>
    </w:p>
    <w:p>
      <w:pPr>
        <w:pStyle w:val="Normal"/>
        <w:jc w:val="both"/>
        <w:rPr>
          <w:rFonts w:ascii="Arial Narrow" w:hAnsi="Arial Narrow"/>
          <w:bCs/>
          <w:sz w:val="22"/>
        </w:rPr>
      </w:pPr>
      <w:r>
        <w:rPr>
          <w:rFonts w:ascii="Arial Narrow" w:hAnsi="Arial Narrow"/>
          <w:bCs/>
          <w:sz w:val="22"/>
        </w:rPr>
      </w:r>
    </w:p>
    <w:p>
      <w:pPr>
        <w:pStyle w:val="Normal"/>
        <w:jc w:val="both"/>
        <w:rPr>
          <w:rFonts w:ascii="Arial Narrow" w:hAnsi="Arial Narrow"/>
          <w:sz w:val="22"/>
          <w:szCs w:val="22"/>
        </w:rPr>
      </w:pPr>
      <w:r>
        <w:rPr>
          <w:rFonts w:ascii="Arial Narrow" w:hAnsi="Arial Narrow"/>
          <w:bCs/>
          <w:sz w:val="22"/>
        </w:rPr>
        <w:t xml:space="preserve">Przez teren objęty planem przebiega linia energetyczna 15kV o zasięgu oddziaływania po 7,5m z każdej ze stron. </w:t>
      </w:r>
      <w:r>
        <w:rPr>
          <w:rFonts w:ascii="Arial Narrow" w:hAnsi="Arial Narrow"/>
          <w:sz w:val="22"/>
          <w:szCs w:val="22"/>
        </w:rPr>
        <w:t>Minimalna powierzchnia nowo wydzielanej działki na terenach oznaczonych symbolem</w:t>
      </w:r>
      <w:r>
        <w:rPr>
          <w:rFonts w:ascii="Arial Narrow" w:hAnsi="Arial Narrow"/>
          <w:b/>
          <w:sz w:val="22"/>
          <w:szCs w:val="22"/>
        </w:rPr>
        <w:t xml:space="preserve"> MN – 1000m</w:t>
      </w:r>
      <w:r>
        <w:rPr>
          <w:rFonts w:ascii="Arial Narrow" w:hAnsi="Arial Narrow"/>
          <w:b/>
          <w:sz w:val="22"/>
          <w:szCs w:val="22"/>
          <w:vertAlign w:val="superscript"/>
        </w:rPr>
        <w:t>2</w:t>
      </w:r>
      <w:r>
        <w:rPr>
          <w:rFonts w:ascii="Arial Narrow" w:hAnsi="Arial Narrow"/>
          <w:b/>
          <w:sz w:val="22"/>
          <w:szCs w:val="22"/>
        </w:rPr>
        <w:t>.</w:t>
      </w:r>
      <w:r>
        <w:rPr>
          <w:rFonts w:ascii="Arial Narrow" w:hAnsi="Arial Narrow"/>
          <w:sz w:val="22"/>
          <w:szCs w:val="22"/>
        </w:rPr>
        <w:t xml:space="preserve"> </w:t>
      </w:r>
    </w:p>
    <w:p>
      <w:pPr>
        <w:pStyle w:val="Normal"/>
        <w:jc w:val="center"/>
        <w:rPr>
          <w:rFonts w:ascii="Arial Narrow" w:hAnsi="Arial Narrow"/>
          <w:sz w:val="22"/>
          <w:szCs w:val="22"/>
        </w:rPr>
      </w:pPr>
      <w:r>
        <w:rPr>
          <w:rFonts w:ascii="Arial Narrow" w:hAnsi="Arial Narrow"/>
          <w:sz w:val="22"/>
          <w:szCs w:val="22"/>
        </w:rPr>
      </w:r>
    </w:p>
    <w:p>
      <w:pPr>
        <w:pStyle w:val="ListParagraph"/>
        <w:numPr>
          <w:ilvl w:val="0"/>
          <w:numId w:val="4"/>
        </w:numPr>
        <w:pBdr>
          <w:top w:val="single" w:sz="4" w:space="1" w:color="000000"/>
          <w:left w:val="single" w:sz="4" w:space="4" w:color="000000"/>
          <w:bottom w:val="single" w:sz="4" w:space="1" w:color="000000"/>
          <w:right w:val="single" w:sz="4" w:space="4" w:color="000000"/>
        </w:pBdr>
        <w:jc w:val="both"/>
        <w:rPr>
          <w:rFonts w:ascii="Arial Narrow" w:hAnsi="Arial Narrow"/>
          <w:b/>
          <w:b/>
          <w:bCs/>
          <w:sz w:val="24"/>
        </w:rPr>
      </w:pPr>
      <w:r>
        <w:rPr>
          <w:rFonts w:ascii="Arial Narrow" w:hAnsi="Arial Narrow"/>
          <w:b/>
          <w:bCs/>
          <w:sz w:val="24"/>
        </w:rPr>
        <w:t>SKUTKI FINANSOWE UCHWALENIA PLANU</w:t>
      </w:r>
    </w:p>
    <w:p>
      <w:pPr>
        <w:pStyle w:val="Normal"/>
        <w:jc w:val="both"/>
        <w:rPr>
          <w:rFonts w:ascii="Arial Narrow" w:hAnsi="Arial Narrow"/>
          <w:b/>
          <w:b/>
          <w:sz w:val="24"/>
        </w:rPr>
      </w:pPr>
      <w:r>
        <w:rPr>
          <w:rFonts w:ascii="Arial Narrow" w:hAnsi="Arial Narrow"/>
          <w:b/>
          <w:sz w:val="24"/>
        </w:rPr>
      </w:r>
    </w:p>
    <w:p>
      <w:pPr>
        <w:pStyle w:val="Normal"/>
        <w:jc w:val="both"/>
        <w:rPr>
          <w:rFonts w:ascii="Arial Narrow" w:hAnsi="Arial Narrow"/>
          <w:b/>
          <w:b/>
          <w:sz w:val="24"/>
        </w:rPr>
      </w:pPr>
      <w:r>
        <w:rPr>
          <w:rFonts w:ascii="Arial Narrow" w:hAnsi="Arial Narrow"/>
          <w:b/>
          <w:sz w:val="24"/>
        </w:rPr>
      </w:r>
    </w:p>
    <w:p>
      <w:pPr>
        <w:pStyle w:val="Tretekstu"/>
        <w:numPr>
          <w:ilvl w:val="1"/>
          <w:numId w:val="4"/>
        </w:numPr>
        <w:spacing w:lineRule="auto" w:line="240"/>
        <w:rPr>
          <w:b/>
          <w:b/>
          <w:bCs/>
        </w:rPr>
      </w:pPr>
      <w:r>
        <w:rPr>
          <w:b/>
          <w:bCs/>
        </w:rPr>
        <w:t>Koszty</w:t>
      </w:r>
    </w:p>
    <w:p>
      <w:pPr>
        <w:pStyle w:val="Tretekstu"/>
        <w:spacing w:lineRule="auto" w:line="240"/>
        <w:ind w:left="360" w:hanging="0"/>
        <w:rPr>
          <w:b/>
          <w:b/>
          <w:bCs/>
        </w:rPr>
      </w:pPr>
      <w:r>
        <w:rPr>
          <w:b/>
          <w:bCs/>
        </w:rPr>
      </w:r>
    </w:p>
    <w:p>
      <w:pPr>
        <w:pStyle w:val="Tretekstu"/>
        <w:spacing w:lineRule="auto" w:line="240"/>
        <w:ind w:left="360" w:hanging="0"/>
        <w:rPr>
          <w:b/>
          <w:b/>
          <w:bCs/>
        </w:rPr>
      </w:pPr>
      <w:r>
        <w:rPr>
          <w:b/>
          <w:bCs/>
        </w:rPr>
      </w:r>
    </w:p>
    <w:p>
      <w:pPr>
        <w:pStyle w:val="Tretekstu"/>
        <w:numPr>
          <w:ilvl w:val="2"/>
          <w:numId w:val="4"/>
        </w:numPr>
        <w:spacing w:lineRule="auto" w:line="240"/>
        <w:rPr>
          <w:b/>
          <w:b/>
          <w:bCs/>
        </w:rPr>
      </w:pPr>
      <w:r>
        <w:rPr>
          <w:b/>
          <w:bCs/>
        </w:rPr>
        <w:t>Szacunkowe koszty wykupu gruntów na cel publiczny</w:t>
      </w:r>
    </w:p>
    <w:p>
      <w:pPr>
        <w:pStyle w:val="Normal"/>
        <w:rPr>
          <w:rFonts w:ascii="Arial Narrow" w:hAnsi="Arial Narrow"/>
          <w:b/>
          <w:b/>
          <w:bCs/>
          <w:sz w:val="16"/>
        </w:rPr>
      </w:pPr>
      <w:r>
        <w:rPr>
          <w:rFonts w:ascii="Arial Narrow" w:hAnsi="Arial Narrow"/>
          <w:b/>
          <w:bCs/>
          <w:sz w:val="16"/>
        </w:rPr>
      </w:r>
    </w:p>
    <w:p>
      <w:pPr>
        <w:pStyle w:val="Normal"/>
        <w:jc w:val="both"/>
        <w:rPr>
          <w:rFonts w:ascii="Arial Narrow" w:hAnsi="Arial Narrow"/>
          <w:bCs/>
          <w:sz w:val="22"/>
        </w:rPr>
      </w:pPr>
      <w:r>
        <w:rPr>
          <w:rFonts w:ascii="Arial Narrow" w:hAnsi="Arial Narrow"/>
          <w:bCs/>
          <w:sz w:val="22"/>
        </w:rPr>
        <w:t>W projektowanym planie zagospodarowania przestrzennego grunty przeznaczone pod drogi publiczne stanowią już własność Gminy.</w:t>
      </w:r>
    </w:p>
    <w:p>
      <w:pPr>
        <w:pStyle w:val="Normal"/>
        <w:jc w:val="both"/>
        <w:rPr>
          <w:rFonts w:ascii="Arial Narrow" w:hAnsi="Arial Narrow"/>
          <w:bCs/>
          <w:sz w:val="22"/>
          <w:szCs w:val="22"/>
        </w:rPr>
      </w:pPr>
      <w:r>
        <w:rPr>
          <w:rFonts w:ascii="Arial Narrow" w:hAnsi="Arial Narrow"/>
          <w:bCs/>
          <w:sz w:val="22"/>
          <w:szCs w:val="22"/>
        </w:rPr>
      </w:r>
    </w:p>
    <w:p>
      <w:pPr>
        <w:pStyle w:val="Normal"/>
        <w:jc w:val="both"/>
        <w:rPr>
          <w:rFonts w:ascii="Arial Narrow" w:hAnsi="Arial Narrow"/>
          <w:bCs/>
          <w:sz w:val="22"/>
          <w:szCs w:val="22"/>
        </w:rPr>
      </w:pPr>
      <w:r>
        <w:rPr>
          <w:rFonts w:ascii="Arial Narrow" w:hAnsi="Arial Narrow"/>
          <w:bCs/>
          <w:sz w:val="22"/>
          <w:szCs w:val="22"/>
        </w:rPr>
      </w:r>
    </w:p>
    <w:p>
      <w:pPr>
        <w:pStyle w:val="ListParagraph"/>
        <w:numPr>
          <w:ilvl w:val="2"/>
          <w:numId w:val="4"/>
        </w:numPr>
        <w:rPr>
          <w:rFonts w:ascii="Arial Narrow" w:hAnsi="Arial Narrow"/>
          <w:b/>
          <w:b/>
          <w:bCs/>
          <w:sz w:val="22"/>
        </w:rPr>
      </w:pPr>
      <w:r>
        <w:rPr>
          <w:rFonts w:ascii="Arial Narrow" w:hAnsi="Arial Narrow"/>
          <w:b/>
          <w:bCs/>
          <w:sz w:val="22"/>
        </w:rPr>
        <w:t>Szacunkowe koszty realizacji dróg i infrastruktury technicznej</w:t>
      </w:r>
    </w:p>
    <w:p>
      <w:pPr>
        <w:pStyle w:val="ListParagraph"/>
        <w:rPr>
          <w:rFonts w:ascii="Arial Narrow" w:hAnsi="Arial Narrow"/>
          <w:b/>
          <w:b/>
          <w:bCs/>
          <w:sz w:val="16"/>
        </w:rPr>
      </w:pPr>
      <w:r>
        <w:rPr>
          <w:rFonts w:ascii="Arial Narrow" w:hAnsi="Arial Narrow"/>
          <w:b/>
          <w:bCs/>
          <w:sz w:val="16"/>
        </w:rPr>
      </w:r>
    </w:p>
    <w:p>
      <w:pPr>
        <w:pStyle w:val="Normal"/>
        <w:jc w:val="both"/>
        <w:rPr>
          <w:rFonts w:ascii="Arial Narrow" w:hAnsi="Arial Narrow"/>
          <w:bCs/>
          <w:sz w:val="22"/>
        </w:rPr>
      </w:pPr>
      <w:r>
        <w:rPr>
          <w:rFonts w:ascii="Arial Narrow" w:hAnsi="Arial Narrow"/>
          <w:bCs/>
          <w:sz w:val="22"/>
        </w:rPr>
        <w:t>W sąsiedztwie przedmiotowej nieruchomości znajdują się drogi utwardzone oraz sieci wodociągowa, kanalizacyjna, gazociąg, więc uchwalenie planu nie generuje konieczności przeprowadzania nowych inwestycji związanych z wybudowaniem infrastruktury.</w:t>
        <w:tab/>
      </w:r>
    </w:p>
    <w:p>
      <w:pPr>
        <w:pStyle w:val="Normal"/>
        <w:jc w:val="both"/>
        <w:rPr>
          <w:rFonts w:ascii="Arial Narrow" w:hAnsi="Arial Narrow"/>
          <w:bCs/>
          <w:sz w:val="22"/>
        </w:rPr>
      </w:pPr>
      <w:r>
        <w:rPr>
          <w:rFonts w:ascii="Arial Narrow" w:hAnsi="Arial Narrow"/>
          <w:bCs/>
          <w:sz w:val="22"/>
        </w:rPr>
      </w:r>
    </w:p>
    <w:p>
      <w:pPr>
        <w:pStyle w:val="Normal"/>
        <w:jc w:val="both"/>
        <w:rPr>
          <w:rFonts w:ascii="Arial Narrow" w:hAnsi="Arial Narrow"/>
          <w:bCs/>
          <w:sz w:val="22"/>
        </w:rPr>
      </w:pPr>
      <w:r>
        <w:rPr>
          <w:rFonts w:ascii="Arial Narrow" w:hAnsi="Arial Narrow"/>
          <w:bCs/>
          <w:sz w:val="22"/>
        </w:rPr>
      </w:r>
    </w:p>
    <w:p>
      <w:pPr>
        <w:pStyle w:val="ListParagraph"/>
        <w:numPr>
          <w:ilvl w:val="2"/>
          <w:numId w:val="4"/>
        </w:numPr>
        <w:rPr>
          <w:rFonts w:ascii="Arial Narrow" w:hAnsi="Arial Narrow"/>
          <w:b/>
          <w:b/>
          <w:bCs/>
          <w:sz w:val="22"/>
        </w:rPr>
      </w:pPr>
      <w:r>
        <w:rPr>
          <w:rFonts w:ascii="Arial Narrow" w:hAnsi="Arial Narrow"/>
          <w:b/>
          <w:bCs/>
          <w:sz w:val="22"/>
        </w:rPr>
        <w:t>Odszkodowania wynikające z art. 36 Ustawy o planowaniu i zagospodarowaniu przestrzennym</w:t>
      </w:r>
    </w:p>
    <w:p>
      <w:pPr>
        <w:pStyle w:val="Normal"/>
        <w:jc w:val="both"/>
        <w:rPr>
          <w:rFonts w:ascii="Arial Narrow" w:hAnsi="Arial Narrow"/>
          <w:sz w:val="16"/>
        </w:rPr>
      </w:pPr>
      <w:r>
        <w:rPr>
          <w:rFonts w:ascii="Arial Narrow" w:hAnsi="Arial Narrow"/>
          <w:sz w:val="16"/>
        </w:rPr>
      </w:r>
    </w:p>
    <w:p>
      <w:pPr>
        <w:pStyle w:val="Normal"/>
        <w:jc w:val="both"/>
        <w:rPr>
          <w:rFonts w:ascii="Arial Narrow" w:hAnsi="Arial Narrow"/>
          <w:bCs/>
          <w:sz w:val="22"/>
        </w:rPr>
      </w:pPr>
      <w:r>
        <w:rPr>
          <w:rFonts w:ascii="Arial Narrow" w:hAnsi="Arial Narrow"/>
          <w:bCs/>
          <w:sz w:val="22"/>
        </w:rPr>
        <w:t xml:space="preserve">Projekt nowego planu w zakresie działki nr 220/2 zmienił przeznaczenie gruntu z terenu zabudowy mieszkaniowej indywidualnej na tereny zieleni urządzonej oraz drogę wewnętrzną, w pozostałej części projektowany plan nie struktury przeznaczenia terenów w odniesieniu do poprzedniego planu zagospodarowania. Działka nr 220/2 stanowi grunt </w:t>
      </w:r>
      <w:r>
        <w:rPr>
          <w:rFonts w:ascii="Arial Narrow" w:hAnsi="Arial Narrow"/>
          <w:sz w:val="22"/>
          <w:szCs w:val="22"/>
        </w:rPr>
        <w:t>nie posiadający uregulowanego stanu prawnego, jej właścicielem samoistnym w ewidencji gruntów jest sołectwo, dokładny zapis z ewidencji "grunty wspólne wsi Chylice".</w:t>
      </w:r>
      <w:r>
        <w:rPr/>
        <w:t xml:space="preserve"> </w:t>
      </w:r>
      <w:r>
        <w:rPr>
          <w:rFonts w:ascii="Arial Narrow" w:hAnsi="Arial Narrow"/>
          <w:sz w:val="22"/>
          <w:szCs w:val="22"/>
        </w:rPr>
        <w:t xml:space="preserve">Zgodnie z informacjami uzyskanymi od Zleceniodawcy, Gmina Jaktorów podjęła kroki mające za celu pozyskanie „z mocy prawa” działki 220/2. </w:t>
      </w:r>
      <w:r>
        <w:rPr>
          <w:rFonts w:ascii="Arial Narrow" w:hAnsi="Arial Narrow"/>
          <w:bCs/>
          <w:sz w:val="22"/>
        </w:rPr>
        <w:t>W związku z tym założono, że w okresie objętym opracowaniem nie będzie roszczeń wynikających z art. 36 Ustawy o planowaniu i zagospodarowaniu przestrzennym.</w:t>
      </w:r>
    </w:p>
    <w:p>
      <w:pPr>
        <w:pStyle w:val="Normal"/>
        <w:jc w:val="both"/>
        <w:rPr>
          <w:rFonts w:ascii="Arial Narrow" w:hAnsi="Arial Narrow"/>
          <w:bCs/>
          <w:sz w:val="22"/>
        </w:rPr>
      </w:pPr>
      <w:r>
        <w:rPr>
          <w:rFonts w:ascii="Arial Narrow" w:hAnsi="Arial Narrow"/>
          <w:bCs/>
          <w:sz w:val="22"/>
        </w:rPr>
      </w:r>
    </w:p>
    <w:p>
      <w:pPr>
        <w:pStyle w:val="Normal"/>
        <w:jc w:val="both"/>
        <w:rPr>
          <w:rFonts w:ascii="Arial Narrow" w:hAnsi="Arial Narrow"/>
          <w:bCs/>
          <w:sz w:val="22"/>
        </w:rPr>
      </w:pPr>
      <w:r>
        <w:rPr>
          <w:rFonts w:ascii="Arial Narrow" w:hAnsi="Arial Narrow"/>
          <w:bCs/>
          <w:sz w:val="22"/>
        </w:rPr>
      </w:r>
    </w:p>
    <w:p>
      <w:pPr>
        <w:pStyle w:val="Normal"/>
        <w:jc w:val="both"/>
        <w:rPr>
          <w:rFonts w:ascii="Arial Narrow" w:hAnsi="Arial Narrow"/>
          <w:bCs/>
          <w:sz w:val="22"/>
        </w:rPr>
      </w:pPr>
      <w:r>
        <w:rPr>
          <w:rFonts w:ascii="Arial Narrow" w:hAnsi="Arial Narrow"/>
          <w:bCs/>
          <w:sz w:val="22"/>
        </w:rPr>
      </w:r>
    </w:p>
    <w:p>
      <w:pPr>
        <w:pStyle w:val="Normal"/>
        <w:numPr>
          <w:ilvl w:val="1"/>
          <w:numId w:val="4"/>
        </w:numPr>
        <w:jc w:val="both"/>
        <w:rPr>
          <w:rFonts w:ascii="Arial Narrow" w:hAnsi="Arial Narrow"/>
          <w:b/>
          <w:b/>
          <w:bCs/>
          <w:sz w:val="22"/>
        </w:rPr>
      </w:pPr>
      <w:r>
        <w:rPr>
          <w:rFonts w:ascii="Arial Narrow" w:hAnsi="Arial Narrow"/>
          <w:b/>
          <w:bCs/>
          <w:sz w:val="22"/>
        </w:rPr>
        <w:t>Wpływy</w:t>
      </w:r>
    </w:p>
    <w:p>
      <w:pPr>
        <w:pStyle w:val="Normal"/>
        <w:jc w:val="both"/>
        <w:rPr>
          <w:rFonts w:ascii="Arial Narrow" w:hAnsi="Arial Narrow"/>
          <w:b/>
          <w:b/>
          <w:bCs/>
          <w:sz w:val="22"/>
        </w:rPr>
      </w:pPr>
      <w:r>
        <w:rPr>
          <w:rFonts w:ascii="Arial Narrow" w:hAnsi="Arial Narrow"/>
          <w:b/>
          <w:bCs/>
          <w:sz w:val="22"/>
        </w:rPr>
      </w:r>
    </w:p>
    <w:p>
      <w:pPr>
        <w:pStyle w:val="Normal"/>
        <w:jc w:val="both"/>
        <w:rPr>
          <w:rFonts w:ascii="Arial Narrow" w:hAnsi="Arial Narrow"/>
          <w:b/>
          <w:b/>
          <w:bCs/>
          <w:sz w:val="22"/>
        </w:rPr>
      </w:pPr>
      <w:r>
        <w:rPr>
          <w:rFonts w:ascii="Arial Narrow" w:hAnsi="Arial Narrow"/>
          <w:b/>
          <w:bCs/>
          <w:sz w:val="22"/>
        </w:rPr>
      </w:r>
    </w:p>
    <w:p>
      <w:pPr>
        <w:pStyle w:val="ListParagraph"/>
        <w:numPr>
          <w:ilvl w:val="2"/>
          <w:numId w:val="4"/>
        </w:numPr>
        <w:rPr>
          <w:rFonts w:ascii="Arial Narrow" w:hAnsi="Arial Narrow"/>
          <w:b/>
          <w:b/>
          <w:bCs/>
          <w:sz w:val="22"/>
        </w:rPr>
      </w:pPr>
      <w:r>
        <w:rPr>
          <w:rFonts w:ascii="Arial Narrow" w:hAnsi="Arial Narrow"/>
          <w:b/>
          <w:bCs/>
          <w:sz w:val="22"/>
        </w:rPr>
        <w:t>Opłata z tytułu wzrostu wartości nieruchomości</w:t>
      </w:r>
    </w:p>
    <w:p>
      <w:pPr>
        <w:pStyle w:val="Normal"/>
        <w:rPr>
          <w:rFonts w:ascii="Arial Narrow" w:hAnsi="Arial Narrow"/>
          <w:b/>
          <w:b/>
          <w:bCs/>
          <w:sz w:val="22"/>
        </w:rPr>
      </w:pPr>
      <w:r>
        <w:rPr>
          <w:rFonts w:ascii="Arial Narrow" w:hAnsi="Arial Narrow"/>
          <w:b/>
          <w:bCs/>
          <w:sz w:val="22"/>
        </w:rPr>
      </w:r>
    </w:p>
    <w:p>
      <w:pPr>
        <w:pStyle w:val="Normal"/>
        <w:jc w:val="both"/>
        <w:rPr>
          <w:rFonts w:ascii="Arial Narrow" w:hAnsi="Arial Narrow"/>
          <w:sz w:val="22"/>
        </w:rPr>
      </w:pPr>
      <w:r>
        <w:rPr>
          <w:rFonts w:ascii="Arial Narrow" w:hAnsi="Arial Narrow"/>
          <w:bCs/>
          <w:sz w:val="22"/>
        </w:rPr>
        <w:t xml:space="preserve">Zgodnie z Art. 36 pkt 4 ustawy o planowaniu i zagospodarowaniu przestrzennym, jeśli wartość nieruchomości wzrośnie wskutek uchwalenia planu przy sprzedaży tej nieruchomości gmina pobiera opłatę, nie wyższą niż 30% wzrostu wartości nieruchomości. Określono stawkę procentową służąca naliczaniu opłaty związanej ze wzrostem wartości nieruchomości spowodowanego uchwaleniem planu dla terenu o symbolach </w:t>
      </w:r>
      <w:r>
        <w:rPr>
          <w:rFonts w:ascii="Arial Narrow" w:hAnsi="Arial Narrow"/>
          <w:b/>
          <w:bCs/>
          <w:sz w:val="22"/>
        </w:rPr>
        <w:t>MN</w:t>
      </w:r>
      <w:r>
        <w:rPr>
          <w:rFonts w:ascii="Arial Narrow" w:hAnsi="Arial Narrow"/>
          <w:bCs/>
          <w:sz w:val="22"/>
        </w:rPr>
        <w:t xml:space="preserve"> w wysokości 15%, dla pozostałych terenów w wysokości – 0%. W odniesieniu do obowiązującego planu zagospodarowania przestrzennego część o przeznaczeniu </w:t>
      </w:r>
      <w:r>
        <w:rPr>
          <w:rFonts w:ascii="Arial Narrow" w:hAnsi="Arial Narrow"/>
          <w:b/>
          <w:sz w:val="22"/>
        </w:rPr>
        <w:t>MN</w:t>
      </w:r>
      <w:r>
        <w:rPr>
          <w:rFonts w:ascii="Arial Narrow" w:hAnsi="Arial Narrow"/>
          <w:bCs/>
          <w:sz w:val="22"/>
        </w:rPr>
        <w:t xml:space="preserve"> posiadałą analogiczne przeznaczenie w obecnym planie zagospodarowania, w związku z tym założono, że w ciągu 5 lat nie będzie wpływów z tytułu opłat planistycznych. </w:t>
      </w:r>
    </w:p>
    <w:p>
      <w:pPr>
        <w:pStyle w:val="Normal"/>
        <w:rPr>
          <w:rFonts w:ascii="Arial Narrow" w:hAnsi="Arial Narrow"/>
          <w:b/>
          <w:b/>
          <w:bCs/>
          <w:sz w:val="22"/>
        </w:rPr>
      </w:pPr>
      <w:r>
        <w:rPr>
          <w:rFonts w:ascii="Arial Narrow" w:hAnsi="Arial Narrow"/>
          <w:b/>
          <w:bCs/>
          <w:sz w:val="22"/>
        </w:rPr>
      </w:r>
    </w:p>
    <w:p>
      <w:pPr>
        <w:pStyle w:val="Normal"/>
        <w:rPr>
          <w:rFonts w:ascii="Arial Narrow" w:hAnsi="Arial Narrow"/>
          <w:b/>
          <w:b/>
          <w:bCs/>
          <w:sz w:val="22"/>
        </w:rPr>
      </w:pPr>
      <w:r>
        <w:rPr>
          <w:rFonts w:ascii="Arial Narrow" w:hAnsi="Arial Narrow"/>
          <w:b/>
          <w:bCs/>
          <w:sz w:val="22"/>
        </w:rPr>
      </w:r>
    </w:p>
    <w:p>
      <w:pPr>
        <w:pStyle w:val="ListParagraph"/>
        <w:numPr>
          <w:ilvl w:val="2"/>
          <w:numId w:val="4"/>
        </w:numPr>
        <w:rPr>
          <w:rFonts w:ascii="Arial Narrow" w:hAnsi="Arial Narrow"/>
          <w:b/>
          <w:b/>
          <w:bCs/>
          <w:sz w:val="22"/>
        </w:rPr>
      </w:pPr>
      <w:r>
        <w:rPr>
          <w:rFonts w:ascii="Arial Narrow" w:hAnsi="Arial Narrow"/>
          <w:b/>
          <w:bCs/>
          <w:sz w:val="22"/>
        </w:rPr>
        <w:t>Opłaty adiacenckie z tytułu podziału nieruchomości</w:t>
      </w:r>
    </w:p>
    <w:p>
      <w:pPr>
        <w:pStyle w:val="Normal"/>
        <w:rPr>
          <w:rFonts w:ascii="Arial Narrow" w:hAnsi="Arial Narrow"/>
          <w:b/>
          <w:b/>
          <w:bCs/>
          <w:sz w:val="22"/>
        </w:rPr>
      </w:pPr>
      <w:r>
        <w:rPr>
          <w:rFonts w:ascii="Arial Narrow" w:hAnsi="Arial Narrow"/>
          <w:b/>
          <w:bCs/>
          <w:sz w:val="22"/>
        </w:rPr>
      </w:r>
    </w:p>
    <w:p>
      <w:pPr>
        <w:pStyle w:val="Normal"/>
        <w:jc w:val="both"/>
        <w:rPr>
          <w:rFonts w:ascii="Arial Narrow" w:hAnsi="Arial Narrow"/>
          <w:sz w:val="22"/>
        </w:rPr>
      </w:pPr>
      <w:r>
        <w:rPr>
          <w:rFonts w:ascii="Arial Narrow" w:hAnsi="Arial Narrow"/>
          <w:bCs/>
          <w:sz w:val="22"/>
        </w:rPr>
        <w:t>Teren objęty projektowanym planem przeznaczony pod zabudowę mieszkaniową na obszarze ok. 0,28ha hipotetycznie może zostać podzielony. Pozostałe podziały wiązałyby się z koniecznością wydzielenia działek przeznaczonych do przyłączenia do sąsiedniej nieruchomości. W związku z brakiem informacji na temat takich działań planowanych przez Właścicieli nieruchomości, stwierdzono, że dla rozpatrywanego terenu, w związku z podziałem nieruchomości nie wystąpi wzrost wartości, który skutkowałby naliczeniem opłaty adiacenckiej z tytułu podziału nieruchomości.</w:t>
      </w:r>
    </w:p>
    <w:p>
      <w:pPr>
        <w:pStyle w:val="Normal"/>
        <w:rPr>
          <w:rFonts w:ascii="Arial Narrow" w:hAnsi="Arial Narrow"/>
          <w:b/>
          <w:b/>
          <w:bCs/>
          <w:sz w:val="22"/>
        </w:rPr>
      </w:pPr>
      <w:r>
        <w:rPr>
          <w:rFonts w:ascii="Arial Narrow" w:hAnsi="Arial Narrow"/>
          <w:b/>
          <w:bCs/>
          <w:sz w:val="22"/>
        </w:rPr>
      </w:r>
    </w:p>
    <w:p>
      <w:pPr>
        <w:pStyle w:val="ListParagraph"/>
        <w:numPr>
          <w:ilvl w:val="2"/>
          <w:numId w:val="4"/>
        </w:numPr>
        <w:rPr>
          <w:rFonts w:ascii="Arial Narrow" w:hAnsi="Arial Narrow"/>
          <w:b/>
          <w:b/>
          <w:bCs/>
          <w:sz w:val="22"/>
        </w:rPr>
      </w:pPr>
      <w:r>
        <w:rPr>
          <w:rFonts w:ascii="Arial Narrow" w:hAnsi="Arial Narrow"/>
          <w:b/>
          <w:bCs/>
          <w:sz w:val="22"/>
        </w:rPr>
        <w:t>Podatki od nieruchomości</w:t>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t>W związku z uchwaleniem projektowanego planu będzie możliwe zabudowanie istniejących i nowo wydzielanych działek budowlanych. Założono, że w okresie prognozy nie zostanie oddany do użytkowania nowy budynek mieszkalny, w związku z tym nie zakładano wzrostu rocznych wpływów z tytułu podatków od nieruchomości.</w:t>
      </w:r>
    </w:p>
    <w:p>
      <w:pPr>
        <w:pStyle w:val="Normal"/>
        <w:jc w:val="both"/>
        <w:rPr>
          <w:rFonts w:ascii="Arial Narrow" w:hAnsi="Arial Narrow"/>
          <w:sz w:val="16"/>
          <w:szCs w:val="16"/>
        </w:rPr>
      </w:pPr>
      <w:r>
        <w:rPr>
          <w:rFonts w:ascii="Arial Narrow" w:hAnsi="Arial Narrow"/>
          <w:sz w:val="16"/>
          <w:szCs w:val="16"/>
        </w:rPr>
      </w:r>
    </w:p>
    <w:p>
      <w:pPr>
        <w:pStyle w:val="Normal"/>
        <w:jc w:val="both"/>
        <w:rPr>
          <w:rFonts w:ascii="Arial Narrow" w:hAnsi="Arial Narrow"/>
          <w:sz w:val="22"/>
        </w:rPr>
      </w:pPr>
      <w:r>
        <w:rPr>
          <w:rFonts w:ascii="Arial Narrow" w:hAnsi="Arial Narrow"/>
          <w:sz w:val="22"/>
        </w:rPr>
        <w:t>W chwili część gruntów objęte jest podatkiem rolnym. Po zmianie użytków w rejestrze gruntów, płacony będzie podatek od nieruchomości w wysokości 0,38zł/m</w:t>
      </w:r>
      <w:r>
        <w:rPr>
          <w:rFonts w:ascii="Arial Narrow" w:hAnsi="Arial Narrow"/>
          <w:sz w:val="22"/>
          <w:vertAlign w:val="superscript"/>
        </w:rPr>
        <w:t>2</w:t>
      </w:r>
      <w:r>
        <w:rPr>
          <w:rFonts w:ascii="Arial Narrow" w:hAnsi="Arial Narrow"/>
          <w:sz w:val="22"/>
        </w:rPr>
        <w:t>. Nie założono takich zmian w okresie prognozy.</w:t>
      </w:r>
    </w:p>
    <w:p>
      <w:pPr>
        <w:pStyle w:val="Normal"/>
        <w:jc w:val="both"/>
        <w:rPr>
          <w:b/>
          <w:b/>
          <w:sz w:val="22"/>
        </w:rPr>
      </w:pPr>
      <w:r>
        <w:rPr>
          <w:b/>
          <w:sz w:val="22"/>
        </w:rPr>
      </w:r>
    </w:p>
    <w:p>
      <w:pPr>
        <w:pStyle w:val="Normal"/>
        <w:jc w:val="both"/>
        <w:rPr>
          <w:b/>
          <w:b/>
          <w:sz w:val="22"/>
        </w:rPr>
      </w:pPr>
      <w:r>
        <w:rPr>
          <w:b/>
          <w:sz w:val="22"/>
        </w:rPr>
      </w:r>
    </w:p>
    <w:p>
      <w:pPr>
        <w:pStyle w:val="ListParagraph"/>
        <w:numPr>
          <w:ilvl w:val="2"/>
          <w:numId w:val="4"/>
        </w:numPr>
        <w:rPr>
          <w:rFonts w:ascii="Arial Narrow" w:hAnsi="Arial Narrow"/>
          <w:b/>
          <w:b/>
          <w:bCs/>
          <w:sz w:val="22"/>
        </w:rPr>
      </w:pPr>
      <w:r>
        <w:rPr>
          <w:rFonts w:ascii="Arial Narrow" w:hAnsi="Arial Narrow"/>
          <w:b/>
          <w:bCs/>
          <w:sz w:val="22"/>
        </w:rPr>
        <w:t>Podatki od czynności cywilnoprawnych</w:t>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t xml:space="preserve">Założono, że w ciągu 5 lat sprzedane będzie 20% gruntu (z części przeznaczonej pod zabudowę mieszkaniową indywidualną). Przyjęto cenę jednostkową gruntu w wysokości średniej 122zł dla terenu MN oraz 2% stawki podatku od czynności cywilnoprawnych. Stąd </w:t>
      </w:r>
      <w:r>
        <w:rPr>
          <w:rFonts w:ascii="Arial Narrow" w:hAnsi="Arial Narrow"/>
          <w:b/>
          <w:sz w:val="22"/>
        </w:rPr>
        <w:t>P</w:t>
      </w:r>
      <w:r>
        <w:rPr>
          <w:rFonts w:ascii="Arial Narrow" w:hAnsi="Arial Narrow"/>
          <w:b/>
          <w:sz w:val="22"/>
          <w:vertAlign w:val="subscript"/>
        </w:rPr>
        <w:t>cc</w:t>
      </w:r>
      <w:r>
        <w:rPr>
          <w:rFonts w:ascii="Arial Narrow" w:hAnsi="Arial Narrow"/>
          <w:sz w:val="22"/>
        </w:rPr>
        <w:t xml:space="preserve"> – szacunkowa wysokość wpływów  tytułu podatków od czynności  cywilnoprawnych wynosi: </w:t>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tab/>
      </w:r>
      <w:r>
        <w:rPr>
          <w:rFonts w:ascii="Arial Narrow" w:hAnsi="Arial Narrow"/>
          <w:b/>
          <w:sz w:val="22"/>
        </w:rPr>
        <w:t>P</w:t>
      </w:r>
      <w:r>
        <w:rPr>
          <w:rFonts w:ascii="Arial Narrow" w:hAnsi="Arial Narrow"/>
          <w:b/>
          <w:sz w:val="22"/>
          <w:vertAlign w:val="subscript"/>
        </w:rPr>
        <w:t>cc</w:t>
      </w:r>
      <w:r>
        <w:rPr>
          <w:rFonts w:ascii="Arial Narrow" w:hAnsi="Arial Narrow"/>
          <w:sz w:val="22"/>
        </w:rPr>
        <w:t xml:space="preserve"> = 11600m</w:t>
      </w:r>
      <w:r>
        <w:rPr>
          <w:rFonts w:ascii="Arial Narrow" w:hAnsi="Arial Narrow"/>
          <w:sz w:val="22"/>
          <w:vertAlign w:val="superscript"/>
        </w:rPr>
        <w:t>2</w:t>
      </w:r>
      <w:r>
        <w:rPr>
          <w:rFonts w:ascii="Arial Narrow" w:hAnsi="Arial Narrow"/>
          <w:sz w:val="22"/>
        </w:rPr>
        <w:t xml:space="preserve"> </w:t>
      </w:r>
      <w:r>
        <w:rPr>
          <w:rFonts w:eastAsia="Symbol" w:cs="Symbol" w:ascii="Symbol" w:hAnsi="Symbol"/>
          <w:sz w:val="22"/>
        </w:rPr>
        <w:t>*</w:t>
      </w:r>
      <w:r>
        <w:rPr>
          <w:rFonts w:ascii="Arial Narrow" w:hAnsi="Arial Narrow"/>
          <w:sz w:val="22"/>
        </w:rPr>
        <w:t xml:space="preserve"> 122zł/m</w:t>
      </w:r>
      <w:r>
        <w:rPr>
          <w:rFonts w:ascii="Arial Narrow" w:hAnsi="Arial Narrow"/>
          <w:sz w:val="22"/>
          <w:vertAlign w:val="superscript"/>
        </w:rPr>
        <w:t>2</w:t>
      </w:r>
      <w:r>
        <w:rPr>
          <w:rFonts w:ascii="Arial Narrow" w:hAnsi="Arial Narrow"/>
          <w:sz w:val="22"/>
        </w:rPr>
        <w:t xml:space="preserve"> </w:t>
      </w:r>
      <w:r>
        <w:rPr>
          <w:rFonts w:eastAsia="Symbol" w:cs="Symbol" w:ascii="Symbol" w:hAnsi="Symbol"/>
          <w:sz w:val="22"/>
        </w:rPr>
        <w:t>*</w:t>
      </w:r>
      <w:r>
        <w:rPr>
          <w:rFonts w:ascii="Arial Narrow" w:hAnsi="Arial Narrow"/>
          <w:sz w:val="22"/>
        </w:rPr>
        <w:t xml:space="preserve"> 20% </w:t>
      </w:r>
      <w:r>
        <w:rPr>
          <w:rFonts w:eastAsia="Symbol" w:cs="Symbol" w:ascii="Symbol" w:hAnsi="Symbol"/>
          <w:sz w:val="22"/>
        </w:rPr>
        <w:t>*</w:t>
      </w:r>
      <w:r>
        <w:rPr>
          <w:rFonts w:ascii="Arial Narrow" w:hAnsi="Arial Narrow"/>
          <w:sz w:val="22"/>
        </w:rPr>
        <w:t xml:space="preserve"> 2% = </w:t>
      </w:r>
      <w:r>
        <w:rPr>
          <w:rFonts w:ascii="Arial Narrow" w:hAnsi="Arial Narrow"/>
          <w:b/>
          <w:sz w:val="22"/>
        </w:rPr>
        <w:t>5 660,8 zł</w:t>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jc w:val="both"/>
        <w:rPr>
          <w:rFonts w:ascii="Arial Narrow" w:hAnsi="Arial Narrow"/>
          <w:sz w:val="22"/>
        </w:rPr>
      </w:pPr>
      <w:r>
        <w:rPr>
          <w:rFonts w:ascii="Arial Narrow" w:hAnsi="Arial Narrow"/>
          <w:sz w:val="22"/>
        </w:rPr>
      </w:r>
    </w:p>
    <w:p>
      <w:pPr>
        <w:pStyle w:val="Normal"/>
        <w:pBdr>
          <w:top w:val="single" w:sz="4" w:space="1" w:color="000000"/>
          <w:left w:val="single" w:sz="4" w:space="4" w:color="000000"/>
          <w:bottom w:val="single" w:sz="4" w:space="1" w:color="000000"/>
          <w:right w:val="single" w:sz="4" w:space="4" w:color="000000"/>
        </w:pBdr>
        <w:jc w:val="both"/>
        <w:rPr>
          <w:rFonts w:ascii="Arial Narrow" w:hAnsi="Arial Narrow"/>
          <w:b/>
          <w:b/>
          <w:bCs/>
          <w:sz w:val="24"/>
        </w:rPr>
      </w:pPr>
      <w:r>
        <w:rPr>
          <w:rFonts w:ascii="Arial Narrow" w:hAnsi="Arial Narrow"/>
          <w:b/>
          <w:bCs/>
          <w:sz w:val="24"/>
        </w:rPr>
        <w:t>6. PODSUMOWANIE</w:t>
      </w:r>
    </w:p>
    <w:p>
      <w:pPr>
        <w:pStyle w:val="Normal"/>
        <w:jc w:val="both"/>
        <w:rPr>
          <w:b/>
          <w:b/>
          <w:sz w:val="22"/>
        </w:rPr>
      </w:pPr>
      <w:r>
        <w:rPr>
          <w:b/>
          <w:sz w:val="22"/>
        </w:rPr>
      </w:r>
    </w:p>
    <w:p>
      <w:pPr>
        <w:pStyle w:val="Normal"/>
        <w:jc w:val="both"/>
        <w:rPr>
          <w:b/>
          <w:b/>
          <w:sz w:val="22"/>
        </w:rPr>
      </w:pPr>
      <w:r>
        <w:rPr>
          <w:b/>
          <w:sz w:val="22"/>
        </w:rPr>
      </w:r>
    </w:p>
    <w:p>
      <w:pPr>
        <w:pStyle w:val="Normal"/>
        <w:jc w:val="both"/>
        <w:rPr>
          <w:b/>
          <w:b/>
          <w:sz w:val="22"/>
        </w:rPr>
      </w:pPr>
      <w:r>
        <w:rPr>
          <w:b/>
          <w:sz w:val="22"/>
        </w:rPr>
      </w:r>
    </w:p>
    <w:p>
      <w:pPr>
        <w:pStyle w:val="Normal"/>
        <w:jc w:val="both"/>
        <w:rPr>
          <w:rFonts w:ascii="Arial Narrow" w:hAnsi="Arial Narrow"/>
          <w:b/>
          <w:b/>
          <w:sz w:val="22"/>
        </w:rPr>
      </w:pPr>
      <w:r>
        <w:rPr>
          <w:rFonts w:ascii="Arial Narrow" w:hAnsi="Arial Narrow"/>
          <w:b/>
          <w:sz w:val="22"/>
        </w:rPr>
        <w:t>6.1. Bilans kosztów i wpływów</w:t>
      </w:r>
    </w:p>
    <w:p>
      <w:pPr>
        <w:pStyle w:val="Normal"/>
        <w:jc w:val="both"/>
        <w:rPr>
          <w:rFonts w:ascii="Arial Narrow" w:hAnsi="Arial Narrow"/>
          <w:bCs/>
          <w:sz w:val="16"/>
          <w:szCs w:val="16"/>
        </w:rPr>
      </w:pPr>
      <w:r>
        <w:rPr>
          <w:rFonts w:ascii="Arial Narrow" w:hAnsi="Arial Narrow"/>
          <w:bCs/>
          <w:sz w:val="16"/>
          <w:szCs w:val="16"/>
        </w:rPr>
      </w:r>
    </w:p>
    <w:p>
      <w:pPr>
        <w:pStyle w:val="Normal"/>
        <w:jc w:val="both"/>
        <w:rPr>
          <w:rFonts w:ascii="Arial Narrow" w:hAnsi="Arial Narrow"/>
          <w:bCs/>
          <w:sz w:val="22"/>
        </w:rPr>
      </w:pPr>
      <w:r>
        <w:rPr>
          <w:rFonts w:ascii="Arial Narrow" w:hAnsi="Arial Narrow"/>
          <w:bCs/>
          <w:sz w:val="22"/>
        </w:rPr>
        <w:t>Tabela 4 zawiera bilans kosztów i wpływów związanych z uchwaleniem projektowanego planu zagospodarowania. Koszty opracowania planu zagospodarowania, przyjęto w wysokości podanej przez Pracownika Urzędu Gminy.</w:t>
      </w:r>
    </w:p>
    <w:p>
      <w:pPr>
        <w:pStyle w:val="Normal"/>
        <w:jc w:val="both"/>
        <w:rPr>
          <w:rFonts w:ascii="Arial Narrow" w:hAnsi="Arial Narrow"/>
          <w:bCs/>
          <w:sz w:val="22"/>
        </w:rPr>
      </w:pPr>
      <w:r>
        <w:rPr>
          <w:rFonts w:ascii="Arial Narrow" w:hAnsi="Arial Narrow"/>
          <w:bCs/>
          <w:sz w:val="22"/>
        </w:rPr>
      </w:r>
    </w:p>
    <w:tbl>
      <w:tblPr>
        <w:tblW w:w="9199"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420"/>
        <w:gridCol w:w="6368"/>
        <w:gridCol w:w="2411"/>
      </w:tblGrid>
      <w:tr>
        <w:trPr/>
        <w:tc>
          <w:tcPr>
            <w:tcW w:w="420" w:type="dxa"/>
            <w:tcBorders>
              <w:left w:val="single" w:sz="12" w:space="0" w:color="000000"/>
              <w:bottom w:val="single" w:sz="6" w:space="0" w:color="000000"/>
              <w:right w:val="single" w:sz="6" w:space="0" w:color="000000"/>
            </w:tcBorders>
            <w:shd w:color="C0C0C0" w:fill="FFFFFF" w:val="pct30"/>
          </w:tcPr>
          <w:p>
            <w:pPr>
              <w:pStyle w:val="Normal"/>
              <w:widowControl w:val="false"/>
              <w:jc w:val="both"/>
              <w:rPr>
                <w:rFonts w:ascii="Arial Narrow" w:hAnsi="Arial Narrow"/>
                <w:sz w:val="22"/>
              </w:rPr>
            </w:pPr>
            <w:r>
              <w:rPr>
                <w:rFonts w:ascii="Arial Narrow" w:hAnsi="Arial Narrow"/>
                <w:sz w:val="22"/>
              </w:rPr>
              <w:t>nr</w:t>
            </w:r>
          </w:p>
        </w:tc>
        <w:tc>
          <w:tcPr>
            <w:tcW w:w="8779" w:type="dxa"/>
            <w:gridSpan w:val="2"/>
            <w:tcBorders>
              <w:left w:val="single" w:sz="6" w:space="0" w:color="000000"/>
              <w:bottom w:val="single" w:sz="6" w:space="0" w:color="000000"/>
              <w:right w:val="single" w:sz="12" w:space="0" w:color="000000"/>
            </w:tcBorders>
            <w:shd w:color="C0C0C0" w:fill="FFFFFF" w:val="pct30"/>
          </w:tcPr>
          <w:p>
            <w:pPr>
              <w:pStyle w:val="Normal"/>
              <w:widowControl w:val="false"/>
              <w:jc w:val="center"/>
              <w:rPr>
                <w:rFonts w:ascii="Arial Narrow" w:hAnsi="Arial Narrow"/>
                <w:sz w:val="22"/>
              </w:rPr>
            </w:pPr>
            <w:r>
              <w:rPr>
                <w:rFonts w:ascii="Arial Narrow" w:hAnsi="Arial Narrow"/>
                <w:sz w:val="22"/>
              </w:rPr>
              <w:t>Koszty</w:t>
            </w:r>
          </w:p>
        </w:tc>
      </w:tr>
      <w:tr>
        <w:trPr/>
        <w:tc>
          <w:tcPr>
            <w:tcW w:w="420" w:type="dxa"/>
            <w:tcBorders>
              <w:top w:val="single" w:sz="6" w:space="0" w:color="000000"/>
              <w:left w:val="single" w:sz="12" w:space="0" w:color="000000"/>
              <w:bottom w:val="single" w:sz="6" w:space="0" w:color="000000"/>
              <w:right w:val="single" w:sz="6" w:space="0" w:color="000000"/>
            </w:tcBorders>
          </w:tcPr>
          <w:p>
            <w:pPr>
              <w:pStyle w:val="Normal"/>
              <w:widowControl w:val="false"/>
              <w:jc w:val="both"/>
              <w:rPr>
                <w:rFonts w:ascii="Arial Narrow" w:hAnsi="Arial Narrow"/>
                <w:sz w:val="22"/>
              </w:rPr>
            </w:pPr>
            <w:r>
              <w:rPr>
                <w:rFonts w:ascii="Arial Narrow" w:hAnsi="Arial Narrow"/>
                <w:sz w:val="22"/>
              </w:rPr>
              <w:t>1</w:t>
            </w:r>
          </w:p>
        </w:tc>
        <w:tc>
          <w:tcPr>
            <w:tcW w:w="6368"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Arial Narrow" w:hAnsi="Arial Narrow"/>
                <w:sz w:val="22"/>
              </w:rPr>
            </w:pPr>
            <w:r>
              <w:rPr>
                <w:rFonts w:ascii="Arial Narrow" w:hAnsi="Arial Narrow"/>
                <w:sz w:val="22"/>
              </w:rPr>
              <w:t>Koszty sporządzenia planu zagospodarowania</w:t>
            </w:r>
          </w:p>
        </w:tc>
        <w:tc>
          <w:tcPr>
            <w:tcW w:w="2411" w:type="dxa"/>
            <w:tcBorders>
              <w:top w:val="single" w:sz="6" w:space="0" w:color="000000"/>
              <w:left w:val="single" w:sz="6" w:space="0" w:color="000000"/>
              <w:bottom w:val="single" w:sz="6" w:space="0" w:color="000000"/>
              <w:right w:val="single" w:sz="12" w:space="0" w:color="000000"/>
            </w:tcBorders>
          </w:tcPr>
          <w:p>
            <w:pPr>
              <w:pStyle w:val="Normal"/>
              <w:widowControl w:val="false"/>
              <w:jc w:val="center"/>
              <w:rPr>
                <w:rFonts w:ascii="Arial Narrow" w:hAnsi="Arial Narrow"/>
                <w:sz w:val="22"/>
              </w:rPr>
            </w:pPr>
            <w:r>
              <w:rPr>
                <w:rFonts w:ascii="Arial Narrow" w:hAnsi="Arial Narrow"/>
                <w:sz w:val="22"/>
              </w:rPr>
              <w:t>4 000 zł</w:t>
            </w:r>
          </w:p>
        </w:tc>
      </w:tr>
      <w:tr>
        <w:trPr/>
        <w:tc>
          <w:tcPr>
            <w:tcW w:w="420" w:type="dxa"/>
            <w:tcBorders>
              <w:top w:val="single" w:sz="6" w:space="0" w:color="000000"/>
              <w:left w:val="single" w:sz="12" w:space="0" w:color="000000"/>
              <w:bottom w:val="single" w:sz="6" w:space="0" w:color="000000"/>
              <w:right w:val="single" w:sz="6" w:space="0" w:color="000000"/>
            </w:tcBorders>
          </w:tcPr>
          <w:p>
            <w:pPr>
              <w:pStyle w:val="Normal"/>
              <w:widowControl w:val="false"/>
              <w:jc w:val="both"/>
              <w:rPr>
                <w:rFonts w:ascii="Arial Narrow" w:hAnsi="Arial Narrow"/>
                <w:sz w:val="22"/>
              </w:rPr>
            </w:pPr>
            <w:r>
              <w:rPr>
                <w:rFonts w:ascii="Arial Narrow" w:hAnsi="Arial Narrow"/>
                <w:sz w:val="22"/>
              </w:rPr>
            </w:r>
          </w:p>
        </w:tc>
        <w:tc>
          <w:tcPr>
            <w:tcW w:w="8779" w:type="dxa"/>
            <w:gridSpan w:val="2"/>
            <w:tcBorders>
              <w:top w:val="single" w:sz="6" w:space="0" w:color="000000"/>
              <w:left w:val="single" w:sz="6" w:space="0" w:color="000000"/>
              <w:bottom w:val="single" w:sz="6" w:space="0" w:color="000000"/>
              <w:right w:val="single" w:sz="12" w:space="0" w:color="000000"/>
            </w:tcBorders>
          </w:tcPr>
          <w:p>
            <w:pPr>
              <w:pStyle w:val="Normal"/>
              <w:widowControl w:val="false"/>
              <w:jc w:val="center"/>
              <w:rPr>
                <w:rFonts w:ascii="Arial Narrow" w:hAnsi="Arial Narrow"/>
                <w:sz w:val="22"/>
              </w:rPr>
            </w:pPr>
            <w:r>
              <w:rPr>
                <w:rFonts w:ascii="Arial Narrow" w:hAnsi="Arial Narrow"/>
                <w:sz w:val="22"/>
              </w:rPr>
              <w:t xml:space="preserve">Wpływy </w:t>
            </w:r>
          </w:p>
        </w:tc>
      </w:tr>
      <w:tr>
        <w:trPr/>
        <w:tc>
          <w:tcPr>
            <w:tcW w:w="420" w:type="dxa"/>
            <w:tcBorders>
              <w:top w:val="single" w:sz="6" w:space="0" w:color="000000"/>
              <w:left w:val="single" w:sz="12" w:space="0" w:color="000000"/>
              <w:bottom w:val="single" w:sz="6" w:space="0" w:color="000000"/>
              <w:right w:val="single" w:sz="6" w:space="0" w:color="000000"/>
            </w:tcBorders>
          </w:tcPr>
          <w:p>
            <w:pPr>
              <w:pStyle w:val="Normal"/>
              <w:widowControl w:val="false"/>
              <w:jc w:val="both"/>
              <w:rPr>
                <w:rFonts w:ascii="Arial Narrow" w:hAnsi="Arial Narrow"/>
                <w:sz w:val="22"/>
              </w:rPr>
            </w:pPr>
            <w:r>
              <w:rPr>
                <w:rFonts w:ascii="Arial Narrow" w:hAnsi="Arial Narrow"/>
                <w:sz w:val="22"/>
              </w:rPr>
              <w:t>1</w:t>
            </w:r>
          </w:p>
        </w:tc>
        <w:tc>
          <w:tcPr>
            <w:tcW w:w="6368"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Arial Narrow" w:hAnsi="Arial Narrow"/>
                <w:sz w:val="22"/>
              </w:rPr>
            </w:pPr>
            <w:r>
              <w:rPr>
                <w:rFonts w:ascii="Arial Narrow" w:hAnsi="Arial Narrow"/>
                <w:sz w:val="22"/>
              </w:rPr>
              <w:t>Wpływy z tytułu opłat planistycznych</w:t>
            </w:r>
          </w:p>
        </w:tc>
        <w:tc>
          <w:tcPr>
            <w:tcW w:w="2411" w:type="dxa"/>
            <w:tcBorders>
              <w:top w:val="single" w:sz="6" w:space="0" w:color="000000"/>
              <w:left w:val="single" w:sz="6" w:space="0" w:color="000000"/>
              <w:bottom w:val="single" w:sz="6" w:space="0" w:color="000000"/>
              <w:right w:val="single" w:sz="12" w:space="0" w:color="000000"/>
            </w:tcBorders>
          </w:tcPr>
          <w:p>
            <w:pPr>
              <w:pStyle w:val="Normal"/>
              <w:widowControl w:val="false"/>
              <w:jc w:val="center"/>
              <w:rPr>
                <w:rFonts w:ascii="Arial Narrow" w:hAnsi="Arial Narrow"/>
                <w:sz w:val="22"/>
              </w:rPr>
            </w:pPr>
            <w:r>
              <w:rPr>
                <w:rFonts w:ascii="Arial Narrow" w:hAnsi="Arial Narrow"/>
                <w:sz w:val="22"/>
              </w:rPr>
              <w:t>0 zł</w:t>
            </w:r>
          </w:p>
        </w:tc>
      </w:tr>
      <w:tr>
        <w:trPr/>
        <w:tc>
          <w:tcPr>
            <w:tcW w:w="420" w:type="dxa"/>
            <w:tcBorders>
              <w:top w:val="single" w:sz="6" w:space="0" w:color="000000"/>
              <w:left w:val="single" w:sz="12" w:space="0" w:color="000000"/>
              <w:bottom w:val="single" w:sz="6" w:space="0" w:color="000000"/>
              <w:right w:val="single" w:sz="6" w:space="0" w:color="000000"/>
            </w:tcBorders>
          </w:tcPr>
          <w:p>
            <w:pPr>
              <w:pStyle w:val="Normal"/>
              <w:widowControl w:val="false"/>
              <w:jc w:val="both"/>
              <w:rPr>
                <w:rFonts w:ascii="Arial Narrow" w:hAnsi="Arial Narrow"/>
                <w:sz w:val="22"/>
              </w:rPr>
            </w:pPr>
            <w:r>
              <w:rPr>
                <w:rFonts w:ascii="Arial Narrow" w:hAnsi="Arial Narrow"/>
                <w:sz w:val="22"/>
              </w:rPr>
              <w:t>2</w:t>
            </w:r>
          </w:p>
        </w:tc>
        <w:tc>
          <w:tcPr>
            <w:tcW w:w="6368"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Arial Narrow" w:hAnsi="Arial Narrow"/>
                <w:sz w:val="22"/>
              </w:rPr>
            </w:pPr>
            <w:r>
              <w:rPr>
                <w:rFonts w:ascii="Arial Narrow" w:hAnsi="Arial Narrow"/>
                <w:sz w:val="22"/>
              </w:rPr>
              <w:t>Wpływy z tytułu opłat adiacenckich</w:t>
            </w:r>
          </w:p>
        </w:tc>
        <w:tc>
          <w:tcPr>
            <w:tcW w:w="2411" w:type="dxa"/>
            <w:tcBorders>
              <w:top w:val="single" w:sz="6" w:space="0" w:color="000000"/>
              <w:left w:val="single" w:sz="6" w:space="0" w:color="000000"/>
              <w:bottom w:val="single" w:sz="6" w:space="0" w:color="000000"/>
              <w:right w:val="single" w:sz="12" w:space="0" w:color="000000"/>
            </w:tcBorders>
          </w:tcPr>
          <w:p>
            <w:pPr>
              <w:pStyle w:val="Normal"/>
              <w:widowControl w:val="false"/>
              <w:jc w:val="center"/>
              <w:rPr>
                <w:rFonts w:ascii="Arial Narrow" w:hAnsi="Arial Narrow"/>
                <w:sz w:val="22"/>
              </w:rPr>
            </w:pPr>
            <w:r>
              <w:rPr>
                <w:rFonts w:ascii="Arial Narrow" w:hAnsi="Arial Narrow"/>
                <w:sz w:val="22"/>
              </w:rPr>
              <w:t>0 zł</w:t>
            </w:r>
          </w:p>
        </w:tc>
      </w:tr>
      <w:tr>
        <w:trPr/>
        <w:tc>
          <w:tcPr>
            <w:tcW w:w="420" w:type="dxa"/>
            <w:tcBorders>
              <w:top w:val="single" w:sz="6" w:space="0" w:color="000000"/>
              <w:left w:val="single" w:sz="12" w:space="0" w:color="000000"/>
              <w:bottom w:val="single" w:sz="6" w:space="0" w:color="000000"/>
              <w:right w:val="single" w:sz="6" w:space="0" w:color="000000"/>
            </w:tcBorders>
          </w:tcPr>
          <w:p>
            <w:pPr>
              <w:pStyle w:val="Normal"/>
              <w:widowControl w:val="false"/>
              <w:jc w:val="both"/>
              <w:rPr>
                <w:rFonts w:ascii="Arial Narrow" w:hAnsi="Arial Narrow"/>
                <w:sz w:val="22"/>
              </w:rPr>
            </w:pPr>
            <w:r>
              <w:rPr>
                <w:rFonts w:ascii="Arial Narrow" w:hAnsi="Arial Narrow"/>
                <w:sz w:val="22"/>
              </w:rPr>
              <w:t>3</w:t>
            </w:r>
          </w:p>
        </w:tc>
        <w:tc>
          <w:tcPr>
            <w:tcW w:w="6368"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Arial Narrow" w:hAnsi="Arial Narrow"/>
                <w:sz w:val="22"/>
              </w:rPr>
            </w:pPr>
            <w:r>
              <w:rPr>
                <w:rFonts w:ascii="Arial Narrow" w:hAnsi="Arial Narrow"/>
                <w:sz w:val="22"/>
              </w:rPr>
              <w:t>Wpływy z tytułu wzrostu podatków</w:t>
            </w:r>
          </w:p>
        </w:tc>
        <w:tc>
          <w:tcPr>
            <w:tcW w:w="2411" w:type="dxa"/>
            <w:tcBorders>
              <w:top w:val="single" w:sz="6" w:space="0" w:color="000000"/>
              <w:left w:val="single" w:sz="6" w:space="0" w:color="000000"/>
              <w:bottom w:val="single" w:sz="6" w:space="0" w:color="000000"/>
              <w:right w:val="single" w:sz="12" w:space="0" w:color="000000"/>
            </w:tcBorders>
          </w:tcPr>
          <w:p>
            <w:pPr>
              <w:pStyle w:val="Normal"/>
              <w:widowControl w:val="false"/>
              <w:jc w:val="center"/>
              <w:rPr>
                <w:rFonts w:ascii="Arial Narrow" w:hAnsi="Arial Narrow"/>
                <w:sz w:val="22"/>
              </w:rPr>
            </w:pPr>
            <w:r>
              <w:rPr>
                <w:rFonts w:ascii="Arial Narrow" w:hAnsi="Arial Narrow"/>
                <w:sz w:val="22"/>
              </w:rPr>
              <w:t>0 zł</w:t>
            </w:r>
          </w:p>
        </w:tc>
      </w:tr>
      <w:tr>
        <w:trPr/>
        <w:tc>
          <w:tcPr>
            <w:tcW w:w="420" w:type="dxa"/>
            <w:tcBorders>
              <w:top w:val="single" w:sz="6" w:space="0" w:color="000000"/>
              <w:left w:val="single" w:sz="12" w:space="0" w:color="000000"/>
              <w:bottom w:val="single" w:sz="6" w:space="0" w:color="000000"/>
              <w:right w:val="single" w:sz="6" w:space="0" w:color="000000"/>
            </w:tcBorders>
          </w:tcPr>
          <w:p>
            <w:pPr>
              <w:pStyle w:val="Normal"/>
              <w:widowControl w:val="false"/>
              <w:jc w:val="both"/>
              <w:rPr>
                <w:rFonts w:ascii="Arial Narrow" w:hAnsi="Arial Narrow"/>
                <w:sz w:val="22"/>
              </w:rPr>
            </w:pPr>
            <w:r>
              <w:rPr>
                <w:rFonts w:ascii="Arial Narrow" w:hAnsi="Arial Narrow"/>
                <w:sz w:val="22"/>
              </w:rPr>
              <w:t xml:space="preserve">4 </w:t>
            </w:r>
          </w:p>
        </w:tc>
        <w:tc>
          <w:tcPr>
            <w:tcW w:w="6368"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Arial Narrow" w:hAnsi="Arial Narrow"/>
                <w:sz w:val="22"/>
              </w:rPr>
            </w:pPr>
            <w:r>
              <w:rPr>
                <w:rFonts w:ascii="Arial Narrow" w:hAnsi="Arial Narrow"/>
                <w:sz w:val="22"/>
              </w:rPr>
              <w:t>Wpływy z tytułu podatku od czynności cywilnoprawnym</w:t>
            </w:r>
          </w:p>
        </w:tc>
        <w:tc>
          <w:tcPr>
            <w:tcW w:w="2411" w:type="dxa"/>
            <w:tcBorders>
              <w:top w:val="single" w:sz="6" w:space="0" w:color="000000"/>
              <w:left w:val="single" w:sz="6" w:space="0" w:color="000000"/>
              <w:bottom w:val="single" w:sz="6" w:space="0" w:color="000000"/>
              <w:right w:val="single" w:sz="12" w:space="0" w:color="000000"/>
            </w:tcBorders>
          </w:tcPr>
          <w:p>
            <w:pPr>
              <w:pStyle w:val="Normal"/>
              <w:widowControl w:val="false"/>
              <w:jc w:val="center"/>
              <w:rPr>
                <w:rFonts w:ascii="Arial Narrow" w:hAnsi="Arial Narrow"/>
                <w:sz w:val="22"/>
              </w:rPr>
            </w:pPr>
            <w:r>
              <w:rPr>
                <w:rFonts w:ascii="Arial Narrow" w:hAnsi="Arial Narrow"/>
                <w:sz w:val="22"/>
              </w:rPr>
              <w:t>5 660,8 zł</w:t>
            </w:r>
          </w:p>
        </w:tc>
      </w:tr>
      <w:tr>
        <w:trPr>
          <w:trHeight w:val="255" w:hRule="atLeast"/>
        </w:trPr>
        <w:tc>
          <w:tcPr>
            <w:tcW w:w="6788" w:type="dxa"/>
            <w:gridSpan w:val="2"/>
            <w:tcBorders>
              <w:top w:val="single" w:sz="6" w:space="0" w:color="000000"/>
              <w:left w:val="single" w:sz="12" w:space="0" w:color="000000"/>
              <w:right w:val="single" w:sz="6" w:space="0" w:color="000000"/>
            </w:tcBorders>
          </w:tcPr>
          <w:p>
            <w:pPr>
              <w:pStyle w:val="Normal"/>
              <w:widowControl w:val="false"/>
              <w:rPr>
                <w:rFonts w:ascii="Arial Narrow" w:hAnsi="Arial Narrow"/>
                <w:sz w:val="22"/>
              </w:rPr>
            </w:pPr>
            <w:r>
              <w:rPr>
                <w:rFonts w:ascii="Arial Narrow" w:hAnsi="Arial Narrow"/>
                <w:sz w:val="22"/>
              </w:rPr>
              <w:t>Bilans</w:t>
            </w:r>
          </w:p>
        </w:tc>
        <w:tc>
          <w:tcPr>
            <w:tcW w:w="2411" w:type="dxa"/>
            <w:tcBorders>
              <w:top w:val="single" w:sz="6" w:space="0" w:color="000000"/>
              <w:left w:val="single" w:sz="6" w:space="0" w:color="000000"/>
              <w:right w:val="single" w:sz="12" w:space="0" w:color="000000"/>
            </w:tcBorders>
          </w:tcPr>
          <w:p>
            <w:pPr>
              <w:pStyle w:val="Normal"/>
              <w:widowControl w:val="false"/>
              <w:jc w:val="center"/>
              <w:rPr>
                <w:rFonts w:ascii="Arial Narrow" w:hAnsi="Arial Narrow"/>
                <w:b/>
                <w:b/>
                <w:sz w:val="22"/>
              </w:rPr>
            </w:pPr>
            <w:r>
              <w:rPr>
                <w:rFonts w:ascii="Arial Narrow" w:hAnsi="Arial Narrow"/>
                <w:b/>
                <w:sz w:val="22"/>
              </w:rPr>
              <w:t>+ 1 660,8 zł</w:t>
            </w:r>
          </w:p>
        </w:tc>
      </w:tr>
    </w:tbl>
    <w:p>
      <w:pPr>
        <w:pStyle w:val="Normal"/>
        <w:jc w:val="both"/>
        <w:rPr>
          <w:rFonts w:ascii="Arial Narrow" w:hAnsi="Arial Narrow"/>
          <w:bCs/>
          <w:sz w:val="22"/>
        </w:rPr>
      </w:pPr>
      <w:r>
        <w:rPr>
          <w:rFonts w:ascii="Arial Narrow" w:hAnsi="Arial Narrow"/>
          <w:bCs/>
          <w:sz w:val="22"/>
        </w:rPr>
        <w:t>Tabela nr 4</w:t>
      </w:r>
    </w:p>
    <w:p>
      <w:pPr>
        <w:pStyle w:val="Normal"/>
        <w:jc w:val="both"/>
        <w:rPr>
          <w:b/>
          <w:b/>
          <w:sz w:val="22"/>
        </w:rPr>
      </w:pPr>
      <w:r>
        <w:rPr>
          <w:b/>
          <w:sz w:val="22"/>
        </w:rPr>
      </w:r>
    </w:p>
    <w:p>
      <w:pPr>
        <w:pStyle w:val="Normal"/>
        <w:jc w:val="both"/>
        <w:rPr>
          <w:b/>
          <w:b/>
          <w:sz w:val="22"/>
        </w:rPr>
      </w:pPr>
      <w:r>
        <w:rPr>
          <w:b/>
          <w:sz w:val="22"/>
        </w:rPr>
      </w:r>
    </w:p>
    <w:p>
      <w:pPr>
        <w:pStyle w:val="Normal"/>
        <w:jc w:val="both"/>
        <w:rPr>
          <w:b/>
          <w:b/>
          <w:sz w:val="22"/>
        </w:rPr>
      </w:pPr>
      <w:r>
        <w:rPr>
          <w:b/>
          <w:sz w:val="22"/>
        </w:rPr>
      </w:r>
    </w:p>
    <w:p>
      <w:pPr>
        <w:pStyle w:val="Normal"/>
        <w:jc w:val="both"/>
        <w:rPr>
          <w:b/>
          <w:b/>
          <w:sz w:val="22"/>
        </w:rPr>
      </w:pPr>
      <w:r>
        <w:rPr>
          <w:b/>
          <w:sz w:val="22"/>
        </w:rPr>
      </w:r>
    </w:p>
    <w:p>
      <w:pPr>
        <w:pStyle w:val="Normal"/>
        <w:jc w:val="both"/>
        <w:rPr>
          <w:b/>
          <w:b/>
          <w:sz w:val="22"/>
        </w:rPr>
      </w:pPr>
      <w:r>
        <w:rPr>
          <w:b/>
          <w:sz w:val="22"/>
        </w:rPr>
      </w:r>
    </w:p>
    <w:p>
      <w:pPr>
        <w:pStyle w:val="Normal"/>
        <w:jc w:val="both"/>
        <w:rPr>
          <w:b/>
          <w:b/>
          <w:sz w:val="22"/>
        </w:rPr>
      </w:pPr>
      <w:r>
        <w:rPr>
          <w:b/>
          <w:sz w:val="22"/>
        </w:rPr>
      </w:r>
    </w:p>
    <w:p>
      <w:pPr>
        <w:pStyle w:val="Normal"/>
        <w:jc w:val="both"/>
        <w:rPr>
          <w:b/>
          <w:b/>
          <w:sz w:val="22"/>
        </w:rPr>
      </w:pPr>
      <w:r>
        <w:rPr>
          <w:b/>
          <w:sz w:val="22"/>
        </w:rPr>
      </w:r>
    </w:p>
    <w:p>
      <w:pPr>
        <w:pStyle w:val="Normal"/>
        <w:jc w:val="both"/>
        <w:rPr>
          <w:b/>
          <w:b/>
          <w:sz w:val="22"/>
        </w:rPr>
      </w:pPr>
      <w:r>
        <w:rPr>
          <w:b/>
          <w:sz w:val="22"/>
        </w:rPr>
      </w:r>
    </w:p>
    <w:p>
      <w:pPr>
        <w:pStyle w:val="Normal"/>
        <w:jc w:val="both"/>
        <w:rPr>
          <w:b/>
          <w:b/>
          <w:sz w:val="22"/>
        </w:rPr>
      </w:pPr>
      <w:r>
        <w:rPr>
          <w:b/>
          <w:sz w:val="22"/>
        </w:rPr>
      </w:r>
    </w:p>
    <w:p>
      <w:pPr>
        <w:pStyle w:val="Normal"/>
        <w:jc w:val="both"/>
        <w:rPr>
          <w:b/>
          <w:b/>
          <w:sz w:val="22"/>
        </w:rPr>
      </w:pPr>
      <w:r>
        <w:rPr>
          <w:b/>
          <w:sz w:val="22"/>
        </w:rPr>
      </w:r>
    </w:p>
    <w:p>
      <w:pPr>
        <w:pStyle w:val="Normal"/>
        <w:jc w:val="both"/>
        <w:rPr>
          <w:b/>
          <w:b/>
          <w:sz w:val="22"/>
        </w:rPr>
      </w:pPr>
      <w:r>
        <w:rPr>
          <w:b/>
          <w:sz w:val="22"/>
        </w:rPr>
      </w:r>
    </w:p>
    <w:p>
      <w:pPr>
        <w:pStyle w:val="Normal"/>
        <w:jc w:val="both"/>
        <w:rPr>
          <w:b/>
          <w:b/>
          <w:sz w:val="22"/>
        </w:rPr>
      </w:pPr>
      <w:r>
        <w:rPr>
          <w:b/>
          <w:sz w:val="22"/>
        </w:rPr>
      </w:r>
    </w:p>
    <w:p>
      <w:pPr>
        <w:pStyle w:val="Normal"/>
        <w:jc w:val="both"/>
        <w:rPr>
          <w:b/>
          <w:b/>
          <w:sz w:val="22"/>
        </w:rPr>
      </w:pPr>
      <w:r>
        <w:rPr>
          <w:b/>
          <w:sz w:val="22"/>
        </w:rPr>
      </w:r>
    </w:p>
    <w:p>
      <w:pPr>
        <w:pStyle w:val="Normal"/>
        <w:jc w:val="both"/>
        <w:rPr>
          <w:b/>
          <w:b/>
          <w:sz w:val="22"/>
        </w:rPr>
      </w:pPr>
      <w:r>
        <w:rPr>
          <w:b/>
          <w:sz w:val="22"/>
        </w:rPr>
      </w:r>
    </w:p>
    <w:p>
      <w:pPr>
        <w:pStyle w:val="Normal"/>
        <w:pBdr>
          <w:top w:val="single" w:sz="4" w:space="1" w:color="000000"/>
          <w:left w:val="single" w:sz="4" w:space="4" w:color="000000"/>
          <w:bottom w:val="single" w:sz="4" w:space="1" w:color="000000"/>
          <w:right w:val="single" w:sz="4" w:space="4" w:color="000000"/>
        </w:pBdr>
        <w:jc w:val="both"/>
        <w:rPr>
          <w:rFonts w:ascii="Arial Narrow" w:hAnsi="Arial Narrow"/>
          <w:b/>
          <w:b/>
          <w:bCs/>
          <w:sz w:val="24"/>
        </w:rPr>
      </w:pPr>
      <w:r>
        <w:rPr>
          <w:rFonts w:ascii="Arial Narrow" w:hAnsi="Arial Narrow"/>
          <w:b/>
          <w:bCs/>
          <w:sz w:val="24"/>
        </w:rPr>
        <w:t>7.  WNIOSKI</w:t>
      </w:r>
    </w:p>
    <w:p>
      <w:pPr>
        <w:pStyle w:val="Normal"/>
        <w:jc w:val="both"/>
        <w:rPr>
          <w:b/>
          <w:b/>
          <w:sz w:val="22"/>
        </w:rPr>
      </w:pPr>
      <w:r>
        <w:rPr>
          <w:b/>
          <w:sz w:val="22"/>
        </w:rPr>
      </w:r>
    </w:p>
    <w:p>
      <w:pPr>
        <w:pStyle w:val="Normal"/>
        <w:jc w:val="both"/>
        <w:rPr>
          <w:b/>
          <w:b/>
          <w:sz w:val="22"/>
        </w:rPr>
      </w:pPr>
      <w:r>
        <w:rPr>
          <w:b/>
          <w:sz w:val="22"/>
        </w:rPr>
      </w:r>
    </w:p>
    <w:p>
      <w:pPr>
        <w:pStyle w:val="Tretekstu"/>
        <w:spacing w:lineRule="auto" w:line="240"/>
        <w:rPr>
          <w:szCs w:val="22"/>
        </w:rPr>
      </w:pPr>
      <w:r>
        <w:rPr>
          <w:bCs/>
        </w:rPr>
        <w:t>Projektowany plan zagospodarowania przestrzennego zasadniczo nie miał na celu usunięcie bezpodstawnej linii zabudowy oraz dostosowanie parametrów drogi wewnętrznej doi obecnych wymogów. Przy okazji zmieniono przeznaczenie działki o nieuregulowanym stanie prawnym z terenów zabudowy mieszkaniowej jednorodzinnej na cele zieleni publicznej  i zieleni urządzonej (Gmina planuje pozyskać te nieruchomość z mocy prawa). Zarezerwowanie terenu pod zieleń będzie się wiązać w przyszłości koniecznością uporządkowania i utrzymania zieleni na działce nr 220/2, jednak inwestycja ta jest zasadna i będzie podnosić walory przyrodnicze tej części wsi. Projektowany plan nie wymusza na Gminie konieczności wykupu gruntów na cele drogowe i inwestycji w zakresie budowania sieci infrastruktury technicznej i społecznej</w:t>
      </w:r>
      <w:r>
        <w:rPr/>
        <w:t xml:space="preserve">. W związku z tym, </w:t>
      </w:r>
      <w:r>
        <w:rPr>
          <w:b/>
        </w:rPr>
        <w:t>skutki finansowe uchwalenia projektowanego planu zagospodarowania</w:t>
      </w:r>
      <w:r>
        <w:rPr/>
        <w:t xml:space="preserve"> </w:t>
      </w:r>
      <w:r>
        <w:rPr>
          <w:b/>
          <w:bCs/>
        </w:rPr>
        <w:t>nie</w:t>
      </w:r>
      <w:r>
        <w:rPr/>
        <w:t xml:space="preserve"> </w:t>
      </w:r>
      <w:r>
        <w:rPr>
          <w:b/>
          <w:bCs/>
        </w:rPr>
        <w:t>generują hipotetycznego dodatniego bilansu dodatkowych kosztów dla Gminy Jaktorów</w:t>
      </w:r>
      <w:r>
        <w:rPr/>
        <w:t xml:space="preserve">. Nie można precyzyjnie określić potencjalnego wzrostu wpływów z tytułu podatków od nieruchomości i PCC (może się zdarzyć, że w ciągu najbliższych lat, żadna z działek objętych planem nie zostanie podzielona, żadna z niezabudowanych działek nie zostanie zabudowana, podobnie żadna z działek nie zostanie sprzedana). W przypadku zabudowy działek przez napływowych mieszkańców do budżetu Gminy będą napływać m. in. trudne do oszacowania podatki dochodowe. Należy dodać, że po zagospodarowaniu obszaru objętego planem, zgodnego z ustaleniami planu, co roku będą wpływać podatki od nieruchomości od działek obecnie nie zabudowanych lub stanowiących użytki rolne. </w:t>
      </w:r>
    </w:p>
    <w:p>
      <w:pPr>
        <w:pStyle w:val="Normal"/>
        <w:jc w:val="both"/>
        <w:rPr>
          <w:rFonts w:ascii="Arial Narrow" w:hAnsi="Arial Narrow"/>
          <w:bCs/>
          <w:sz w:val="22"/>
        </w:rPr>
      </w:pPr>
      <w:r>
        <w:rPr>
          <w:rFonts w:ascii="Arial Narrow" w:hAnsi="Arial Narrow"/>
          <w:bCs/>
          <w:sz w:val="22"/>
        </w:rPr>
      </w:r>
    </w:p>
    <w:p>
      <w:pPr>
        <w:pStyle w:val="Normal"/>
        <w:jc w:val="both"/>
        <w:rPr>
          <w:rFonts w:ascii="Arial Narrow" w:hAnsi="Arial Narrow"/>
          <w:bCs/>
          <w:sz w:val="22"/>
        </w:rPr>
      </w:pPr>
      <w:r>
        <w:rPr>
          <w:rFonts w:ascii="Arial Narrow" w:hAnsi="Arial Narrow"/>
          <w:bCs/>
          <w:sz w:val="22"/>
        </w:rPr>
      </w:r>
    </w:p>
    <w:p>
      <w:pPr>
        <w:pStyle w:val="Normal"/>
        <w:jc w:val="both"/>
        <w:rPr>
          <w:rFonts w:ascii="Arial Narrow" w:hAnsi="Arial Narrow"/>
          <w:bCs/>
          <w:sz w:val="22"/>
        </w:rPr>
      </w:pPr>
      <w:r>
        <w:rPr>
          <w:rFonts w:ascii="Arial Narrow" w:hAnsi="Arial Narrow"/>
          <w:bCs/>
          <w:sz w:val="22"/>
        </w:rPr>
      </w:r>
    </w:p>
    <w:p>
      <w:pPr>
        <w:pStyle w:val="Normal"/>
        <w:pBdr>
          <w:top w:val="single" w:sz="4" w:space="1" w:color="000000"/>
          <w:left w:val="single" w:sz="4" w:space="4" w:color="000000"/>
          <w:bottom w:val="single" w:sz="4" w:space="1" w:color="000000"/>
          <w:right w:val="single" w:sz="4" w:space="4" w:color="000000"/>
        </w:pBdr>
        <w:jc w:val="both"/>
        <w:rPr>
          <w:rFonts w:ascii="Arial Narrow" w:hAnsi="Arial Narrow"/>
          <w:b/>
          <w:b/>
          <w:bCs/>
          <w:sz w:val="24"/>
        </w:rPr>
      </w:pPr>
      <w:r>
        <w:rPr>
          <w:rFonts w:ascii="Arial Narrow" w:hAnsi="Arial Narrow"/>
          <w:b/>
          <w:bCs/>
          <w:sz w:val="24"/>
        </w:rPr>
        <w:t>8.  WYKAZ ZAŁĄCZNIKÓW</w:t>
      </w:r>
    </w:p>
    <w:p>
      <w:pPr>
        <w:pStyle w:val="Normal"/>
        <w:jc w:val="both"/>
        <w:rPr>
          <w:rFonts w:ascii="Arial Narrow" w:hAnsi="Arial Narrow"/>
          <w:bCs/>
          <w:sz w:val="22"/>
        </w:rPr>
      </w:pPr>
      <w:r>
        <w:rPr>
          <w:rFonts w:ascii="Arial Narrow" w:hAnsi="Arial Narrow"/>
          <w:bCs/>
          <w:sz w:val="22"/>
        </w:rPr>
      </w:r>
    </w:p>
    <w:p>
      <w:pPr>
        <w:pStyle w:val="Normal"/>
        <w:jc w:val="both"/>
        <w:rPr>
          <w:rFonts w:ascii="Arial Narrow" w:hAnsi="Arial Narrow"/>
          <w:bCs/>
          <w:sz w:val="22"/>
        </w:rPr>
      </w:pPr>
      <w:r>
        <w:rPr>
          <w:rFonts w:ascii="Arial Narrow" w:hAnsi="Arial Narrow"/>
          <w:bCs/>
          <w:sz w:val="22"/>
        </w:rPr>
      </w:r>
    </w:p>
    <w:p>
      <w:pPr>
        <w:pStyle w:val="ListParagraph"/>
        <w:numPr>
          <w:ilvl w:val="0"/>
          <w:numId w:val="10"/>
        </w:numPr>
        <w:jc w:val="both"/>
        <w:rPr>
          <w:rFonts w:ascii="Arial Narrow" w:hAnsi="Arial Narrow"/>
          <w:bCs/>
          <w:sz w:val="22"/>
        </w:rPr>
      </w:pPr>
      <w:r>
        <w:rPr>
          <w:rFonts w:ascii="Arial Narrow" w:hAnsi="Arial Narrow"/>
          <w:bCs/>
          <w:sz w:val="22"/>
        </w:rPr>
        <w:t xml:space="preserve">Kopia projektu </w:t>
      </w:r>
      <w:r>
        <w:rPr>
          <w:rFonts w:ascii="Arial Narrow" w:hAnsi="Arial Narrow"/>
          <w:sz w:val="22"/>
        </w:rPr>
        <w:t xml:space="preserve">miejscowego </w:t>
      </w:r>
      <w:r>
        <w:rPr>
          <w:rFonts w:ascii="Arial Narrow" w:hAnsi="Arial Narrow"/>
          <w:bCs/>
          <w:sz w:val="22"/>
        </w:rPr>
        <w:t xml:space="preserve">planu zagospodarowania przestrzennego fragmentu wsi </w:t>
      </w:r>
      <w:r>
        <w:rPr>
          <w:rFonts w:ascii="Arial Narrow" w:hAnsi="Arial Narrow"/>
          <w:sz w:val="22"/>
        </w:rPr>
        <w:t>fragmentu wsi Chylice (teren objęty prognozą)</w:t>
      </w:r>
    </w:p>
    <w:p>
      <w:pPr>
        <w:pStyle w:val="Normal"/>
        <w:numPr>
          <w:ilvl w:val="0"/>
          <w:numId w:val="10"/>
        </w:numPr>
        <w:tabs>
          <w:tab w:val="clear" w:pos="708"/>
          <w:tab w:val="left" w:pos="993" w:leader="none"/>
        </w:tabs>
        <w:jc w:val="both"/>
        <w:rPr>
          <w:rFonts w:ascii="Arial Narrow" w:hAnsi="Arial Narrow"/>
          <w:bCs/>
          <w:sz w:val="22"/>
          <w:szCs w:val="22"/>
        </w:rPr>
      </w:pPr>
      <w:r>
        <w:rPr>
          <w:rFonts w:ascii="Arial Narrow" w:hAnsi="Arial Narrow"/>
          <w:bCs/>
          <w:sz w:val="22"/>
          <w:szCs w:val="22"/>
        </w:rPr>
        <w:t xml:space="preserve">Kopia Uchwały </w:t>
      </w:r>
      <w:r>
        <w:rPr>
          <w:rFonts w:ascii="Arial Narrow" w:hAnsi="Arial Narrow"/>
          <w:bCs/>
          <w:sz w:val="22"/>
        </w:rPr>
        <w:t>nr LV/418/2022 Rady Gminy Jaktorów z dnia 29 czerwca 2022r. w sprawie przystąpienia do sporządzenia miejscowego planu zagospodarowania przestrzennego fragmentu wsi Chylice, gmina Jaktorów</w:t>
      </w:r>
    </w:p>
    <w:p>
      <w:pPr>
        <w:pStyle w:val="ListParagraph"/>
        <w:numPr>
          <w:ilvl w:val="0"/>
          <w:numId w:val="10"/>
        </w:numPr>
        <w:jc w:val="both"/>
        <w:rPr>
          <w:rFonts w:ascii="Arial Narrow" w:hAnsi="Arial Narrow"/>
          <w:bCs/>
          <w:sz w:val="22"/>
        </w:rPr>
      </w:pPr>
      <w:r>
        <w:rPr>
          <w:rFonts w:ascii="Arial Narrow" w:hAnsi="Arial Narrow"/>
          <w:bCs/>
          <w:sz w:val="22"/>
        </w:rPr>
        <w:t>Kopia potwierdzenia zawarcia obowiązkowego ubezpieczenia rzeczoznawców majątkowych</w:t>
      </w:r>
    </w:p>
    <w:sectPr>
      <w:footerReference w:type="default" r:id="rId18"/>
      <w:footerReference w:type="first" r:id="rId19"/>
      <w:type w:val="nextPage"/>
      <w:pgSz w:w="11906" w:h="16838"/>
      <w:pgMar w:left="1417" w:right="1417" w:header="0" w:top="1417" w:footer="708" w:bottom="1417"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Arial Narrow">
    <w:charset w:val="ee"/>
    <w:family w:val="roman"/>
    <w:pitch w:val="variable"/>
  </w:font>
  <w:font w:name="Tahoma">
    <w:charset w:val="ee"/>
    <w:family w:val="roman"/>
    <w:pitch w:val="variable"/>
  </w:font>
  <w:font w:name="Liberation Sans">
    <w:altName w:val="Arial"/>
    <w:charset w:val="ee"/>
    <w:family w:val="swiss"/>
    <w:pitch w:val="variable"/>
  </w:font>
  <w:font w:name="Arial Unicode MS">
    <w:charset w:val="ee"/>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09647414"/>
    </w:sdtPr>
    <w:sdtContent>
      <w:p>
        <w:pPr>
          <w:pStyle w:val="Stopka"/>
          <w:jc w:val="center"/>
          <w:rPr/>
        </w:pPr>
        <w:r>
          <w:rPr/>
          <w:fldChar w:fldCharType="begin"/>
        </w:r>
        <w:r>
          <w:rPr/>
          <w:instrText> PAGE </w:instrText>
        </w:r>
        <w:r>
          <w:rPr/>
          <w:fldChar w:fldCharType="separate"/>
        </w:r>
        <w:r>
          <w:rPr/>
          <w:t>17</w:t>
        </w:r>
        <w:r>
          <w:rPr/>
          <w:fldChar w:fldCharType="end"/>
        </w:r>
      </w:p>
    </w:sdtContent>
  </w:sdt>
  <w:p>
    <w:pPr>
      <w:pStyle w:val="Stopk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w:r>
  </w:p>
  <w:p>
    <w:pPr>
      <w:pStyle w:val="Stopka"/>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tabs>
          <w:tab w:val="num" w:pos="360"/>
        </w:tabs>
        <w:ind w:left="360" w:hanging="360"/>
      </w:pPr>
    </w:lvl>
    <w:lvl w:ilvl="1">
      <w:start w:val="1"/>
      <w:numFmt w:val="decimal"/>
      <w:lvlText w:val="%1.%2."/>
      <w:lvlJc w:val="left"/>
      <w:pPr>
        <w:tabs>
          <w:tab w:val="num" w:pos="810"/>
        </w:tabs>
        <w:ind w:left="810" w:hanging="45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1428"/>
        </w:tabs>
        <w:ind w:left="1428" w:hanging="360"/>
      </w:pPr>
      <w:rPr>
        <w:rFonts w:ascii="Symbol" w:hAnsi="Symbol" w:cs="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7">
    <w:lvl w:ilvl="0">
      <w:start w:val="1"/>
      <w:numFmt w:val="bullet"/>
      <w:lvlText w:val=""/>
      <w:lvlJc w:val="left"/>
      <w:pPr>
        <w:tabs>
          <w:tab w:val="num" w:pos="0"/>
        </w:tabs>
        <w:ind w:left="2148" w:hanging="360"/>
      </w:pPr>
      <w:rPr>
        <w:rFonts w:ascii="Symbol" w:hAnsi="Symbol" w:cs="Symbol" w:hint="default"/>
      </w:rPr>
    </w:lvl>
    <w:lvl w:ilvl="1">
      <w:start w:val="1"/>
      <w:numFmt w:val="bullet"/>
      <w:lvlText w:val="o"/>
      <w:lvlJc w:val="left"/>
      <w:pPr>
        <w:tabs>
          <w:tab w:val="num" w:pos="0"/>
        </w:tabs>
        <w:ind w:left="2868" w:hanging="360"/>
      </w:pPr>
      <w:rPr>
        <w:rFonts w:ascii="Courier New" w:hAnsi="Courier New" w:cs="Courier New" w:hint="default"/>
      </w:rPr>
    </w:lvl>
    <w:lvl w:ilvl="2">
      <w:start w:val="1"/>
      <w:numFmt w:val="bullet"/>
      <w:lvlText w:val=""/>
      <w:lvlJc w:val="left"/>
      <w:pPr>
        <w:tabs>
          <w:tab w:val="num" w:pos="0"/>
        </w:tabs>
        <w:ind w:left="3588" w:hanging="360"/>
      </w:pPr>
      <w:rPr>
        <w:rFonts w:ascii="Wingdings" w:hAnsi="Wingdings" w:cs="Wingdings" w:hint="default"/>
      </w:rPr>
    </w:lvl>
    <w:lvl w:ilvl="3">
      <w:start w:val="1"/>
      <w:numFmt w:val="bullet"/>
      <w:lvlText w:val=""/>
      <w:lvlJc w:val="left"/>
      <w:pPr>
        <w:tabs>
          <w:tab w:val="num" w:pos="0"/>
        </w:tabs>
        <w:ind w:left="4308" w:hanging="360"/>
      </w:pPr>
      <w:rPr>
        <w:rFonts w:ascii="Symbol" w:hAnsi="Symbol" w:cs="Symbol" w:hint="default"/>
      </w:rPr>
    </w:lvl>
    <w:lvl w:ilvl="4">
      <w:start w:val="1"/>
      <w:numFmt w:val="bullet"/>
      <w:lvlText w:val="o"/>
      <w:lvlJc w:val="left"/>
      <w:pPr>
        <w:tabs>
          <w:tab w:val="num" w:pos="0"/>
        </w:tabs>
        <w:ind w:left="5028" w:hanging="360"/>
      </w:pPr>
      <w:rPr>
        <w:rFonts w:ascii="Courier New" w:hAnsi="Courier New" w:cs="Courier New" w:hint="default"/>
      </w:rPr>
    </w:lvl>
    <w:lvl w:ilvl="5">
      <w:start w:val="1"/>
      <w:numFmt w:val="bullet"/>
      <w:lvlText w:val=""/>
      <w:lvlJc w:val="left"/>
      <w:pPr>
        <w:tabs>
          <w:tab w:val="num" w:pos="0"/>
        </w:tabs>
        <w:ind w:left="5748" w:hanging="360"/>
      </w:pPr>
      <w:rPr>
        <w:rFonts w:ascii="Wingdings" w:hAnsi="Wingdings" w:cs="Wingdings" w:hint="default"/>
      </w:rPr>
    </w:lvl>
    <w:lvl w:ilvl="6">
      <w:start w:val="1"/>
      <w:numFmt w:val="bullet"/>
      <w:lvlText w:val=""/>
      <w:lvlJc w:val="left"/>
      <w:pPr>
        <w:tabs>
          <w:tab w:val="num" w:pos="0"/>
        </w:tabs>
        <w:ind w:left="6468" w:hanging="360"/>
      </w:pPr>
      <w:rPr>
        <w:rFonts w:ascii="Symbol" w:hAnsi="Symbol" w:cs="Symbol" w:hint="default"/>
      </w:rPr>
    </w:lvl>
    <w:lvl w:ilvl="7">
      <w:start w:val="1"/>
      <w:numFmt w:val="bullet"/>
      <w:lvlText w:val="o"/>
      <w:lvlJc w:val="left"/>
      <w:pPr>
        <w:tabs>
          <w:tab w:val="num" w:pos="0"/>
        </w:tabs>
        <w:ind w:left="7188" w:hanging="360"/>
      </w:pPr>
      <w:rPr>
        <w:rFonts w:ascii="Courier New" w:hAnsi="Courier New" w:cs="Courier New" w:hint="default"/>
      </w:rPr>
    </w:lvl>
    <w:lvl w:ilvl="8">
      <w:start w:val="1"/>
      <w:numFmt w:val="bullet"/>
      <w:lvlText w:val=""/>
      <w:lvlJc w:val="left"/>
      <w:pPr>
        <w:tabs>
          <w:tab w:val="num" w:pos="0"/>
        </w:tabs>
        <w:ind w:left="7908"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1"/>
      <w:numFmt w:val="lowerLetter"/>
      <w:lvlText w:val="%1)"/>
      <w:lvlJc w:val="left"/>
      <w:pPr>
        <w:tabs>
          <w:tab w:val="num" w:pos="720"/>
        </w:tabs>
        <w:ind w:left="720" w:hanging="360"/>
      </w:pPr>
      <w:rPr>
        <w:b w:val="false"/>
        <w:rFonts w:ascii="Times New Roman" w:hAnsi="Times New Roman" w:eastAsia="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lvl w:ilvl="0">
      <w:start w:val="1"/>
      <w:numFmt w:val="decimal"/>
      <w:lvlText w:val="%1)"/>
      <w:lvlJc w:val="left"/>
      <w:pPr>
        <w:tabs>
          <w:tab w:val="num" w:pos="0"/>
        </w:tabs>
        <w:ind w:left="1440" w:hanging="360"/>
      </w:pPr>
      <w:rPr>
        <w:sz w:val="24"/>
        <w:b w:val="false"/>
        <w:szCs w:val="24"/>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2"/>
    <w:lvlOverride w:ilvl="0">
      <w:startOverride w:val="1"/>
    </w:lvlOverride>
  </w:num>
  <w:num w:numId="17">
    <w:abstractNumId w:val="3"/>
    <w:lvlOverride w:ilvl="0">
      <w:startOverride w:val="1"/>
    </w:lvlOverride>
  </w:num>
  <w:num w:numId="18">
    <w:abstractNumId w:val="4"/>
    <w:lvlOverride w:ilvl="0">
      <w:startOverride w:val="1"/>
    </w:lvlOverride>
  </w:num>
  <w:num w:numId="19">
    <w:abstractNumId w:val="12"/>
    <w:lvlOverride w:ilvl="0">
      <w:startOverride w:val="1"/>
    </w:lvlOverride>
  </w:num>
</w:numbering>
</file>

<file path=word/settings.xml><?xml version="1.0" encoding="utf-8"?>
<w:settings xmlns:w="http://schemas.openxmlformats.org/wordprocessingml/2006/main">
  <w:zoom w:val="bestFit" w:percent="191"/>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uiPriority="0"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30a29"/>
    <w:pPr>
      <w:widowControl/>
      <w:bidi w:val="0"/>
      <w:spacing w:lineRule="auto" w:line="240" w:before="0" w:after="0"/>
      <w:jc w:val="left"/>
    </w:pPr>
    <w:rPr>
      <w:rFonts w:ascii="Times New Roman" w:hAnsi="Times New Roman" w:eastAsia="Times New Roman" w:cs="Times New Roman"/>
      <w:color w:val="auto"/>
      <w:kern w:val="0"/>
      <w:sz w:val="20"/>
      <w:szCs w:val="20"/>
      <w:lang w:eastAsia="pl-PL" w:val="pl-PL" w:bidi="ar-SA"/>
    </w:rPr>
  </w:style>
  <w:style w:type="paragraph" w:styleId="Nagwek1">
    <w:name w:val="Heading 1"/>
    <w:basedOn w:val="Normal"/>
    <w:next w:val="Normal"/>
    <w:link w:val="Nagwek1Znak"/>
    <w:qFormat/>
    <w:rsid w:val="007a3f30"/>
    <w:pPr>
      <w:keepNext w:val="true"/>
      <w:spacing w:lineRule="auto" w:line="360"/>
      <w:jc w:val="center"/>
      <w:outlineLvl w:val="0"/>
    </w:pPr>
    <w:rPr>
      <w:rFonts w:ascii="Arial Narrow" w:hAnsi="Arial Narrow"/>
      <w:b/>
      <w:sz w:val="32"/>
    </w:rPr>
  </w:style>
  <w:style w:type="paragraph" w:styleId="Nagwek2">
    <w:name w:val="Heading 2"/>
    <w:basedOn w:val="Normal"/>
    <w:next w:val="Normal"/>
    <w:link w:val="Nagwek2Znak"/>
    <w:semiHidden/>
    <w:unhideWhenUsed/>
    <w:qFormat/>
    <w:rsid w:val="007a3f30"/>
    <w:pPr>
      <w:keepNext w:val="true"/>
      <w:spacing w:lineRule="auto" w:line="360"/>
      <w:jc w:val="center"/>
      <w:outlineLvl w:val="1"/>
    </w:pPr>
    <w:rPr>
      <w:rFonts w:ascii="Arial Narrow" w:hAnsi="Arial Narrow"/>
      <w:b/>
      <w:sz w:val="24"/>
    </w:rPr>
  </w:style>
  <w:style w:type="paragraph" w:styleId="Nagwek3">
    <w:name w:val="Heading 3"/>
    <w:basedOn w:val="Normal"/>
    <w:next w:val="Normal"/>
    <w:link w:val="Nagwek3Znak"/>
    <w:semiHidden/>
    <w:unhideWhenUsed/>
    <w:qFormat/>
    <w:rsid w:val="007a3f30"/>
    <w:pPr>
      <w:keepNext w:val="true"/>
      <w:spacing w:lineRule="auto" w:line="360"/>
      <w:jc w:val="center"/>
      <w:outlineLvl w:val="2"/>
    </w:pPr>
    <w:rPr>
      <w:rFonts w:ascii="Arial Narrow" w:hAnsi="Arial Narrow"/>
      <w:b/>
      <w:sz w:val="28"/>
    </w:rPr>
  </w:style>
  <w:style w:type="paragraph" w:styleId="Nagwek4">
    <w:name w:val="Heading 4"/>
    <w:basedOn w:val="Normal"/>
    <w:next w:val="Normal"/>
    <w:link w:val="Nagwek4Znak"/>
    <w:unhideWhenUsed/>
    <w:qFormat/>
    <w:rsid w:val="007a3f30"/>
    <w:pPr>
      <w:keepNext w:val="true"/>
      <w:spacing w:lineRule="auto" w:line="360"/>
      <w:outlineLvl w:val="3"/>
    </w:pPr>
    <w:rPr>
      <w:rFonts w:ascii="Arial Narrow" w:hAnsi="Arial Narrow"/>
      <w:sz w:val="24"/>
    </w:rPr>
  </w:style>
  <w:style w:type="paragraph" w:styleId="Nagwek5">
    <w:name w:val="Heading 5"/>
    <w:basedOn w:val="Normal"/>
    <w:next w:val="Normal"/>
    <w:link w:val="Nagwek5Znak"/>
    <w:unhideWhenUsed/>
    <w:qFormat/>
    <w:rsid w:val="007a3f30"/>
    <w:pPr>
      <w:keepNext w:val="true"/>
      <w:spacing w:lineRule="auto" w:line="360"/>
      <w:jc w:val="both"/>
      <w:outlineLvl w:val="4"/>
    </w:pPr>
    <w:rPr>
      <w:rFonts w:ascii="Arial Narrow" w:hAnsi="Arial Narrow"/>
      <w:sz w:val="22"/>
      <w:u w:val="single"/>
    </w:rPr>
  </w:style>
  <w:style w:type="paragraph" w:styleId="Nagwek6">
    <w:name w:val="Heading 6"/>
    <w:basedOn w:val="Normal"/>
    <w:next w:val="Normal"/>
    <w:link w:val="Nagwek6Znak"/>
    <w:unhideWhenUsed/>
    <w:qFormat/>
    <w:rsid w:val="007a3f30"/>
    <w:pPr>
      <w:keepNext w:val="true"/>
      <w:spacing w:lineRule="auto" w:line="360"/>
      <w:jc w:val="both"/>
      <w:outlineLvl w:val="5"/>
    </w:pPr>
    <w:rPr>
      <w:rFonts w:ascii="Arial Narrow" w:hAnsi="Arial Narrow"/>
      <w:b/>
      <w:sz w:val="22"/>
    </w:rPr>
  </w:style>
  <w:style w:type="paragraph" w:styleId="Nagwek7">
    <w:name w:val="Heading 7"/>
    <w:basedOn w:val="Normal"/>
    <w:next w:val="Normal"/>
    <w:link w:val="Nagwek7Znak"/>
    <w:semiHidden/>
    <w:unhideWhenUsed/>
    <w:qFormat/>
    <w:rsid w:val="007a3f30"/>
    <w:pPr>
      <w:keepNext w:val="true"/>
      <w:pBdr>
        <w:top w:val="single" w:sz="4" w:space="1" w:color="000000"/>
        <w:left w:val="single" w:sz="4" w:space="4" w:color="000000"/>
        <w:bottom w:val="single" w:sz="4" w:space="1" w:color="000000"/>
        <w:right w:val="single" w:sz="4" w:space="4" w:color="000000"/>
      </w:pBdr>
      <w:spacing w:lineRule="auto" w:line="360"/>
      <w:jc w:val="center"/>
      <w:outlineLvl w:val="6"/>
    </w:pPr>
    <w:rPr>
      <w:rFonts w:ascii="Arial Narrow" w:hAnsi="Arial Narrow"/>
      <w:b/>
      <w:sz w:val="28"/>
    </w:rPr>
  </w:style>
  <w:style w:type="paragraph" w:styleId="Nagwek8">
    <w:name w:val="Heading 8"/>
    <w:basedOn w:val="Normal"/>
    <w:next w:val="Normal"/>
    <w:link w:val="Nagwek8Znak"/>
    <w:semiHidden/>
    <w:unhideWhenUsed/>
    <w:qFormat/>
    <w:rsid w:val="007a3f30"/>
    <w:pPr>
      <w:keepNext w:val="true"/>
      <w:spacing w:lineRule="auto" w:line="360"/>
      <w:jc w:val="center"/>
      <w:outlineLvl w:val="7"/>
    </w:pPr>
    <w:rPr>
      <w:rFonts w:ascii="Arial Narrow" w:hAnsi="Arial Narrow"/>
      <w:b/>
      <w:sz w:val="22"/>
    </w:rPr>
  </w:style>
  <w:style w:type="paragraph" w:styleId="Nagwek9">
    <w:name w:val="Heading 9"/>
    <w:basedOn w:val="Normal"/>
    <w:next w:val="Normal"/>
    <w:link w:val="Nagwek9Znak"/>
    <w:semiHidden/>
    <w:unhideWhenUsed/>
    <w:qFormat/>
    <w:rsid w:val="007a3f30"/>
    <w:pPr>
      <w:keepNext w:val="true"/>
      <w:pBdr>
        <w:top w:val="single" w:sz="4" w:space="1" w:color="000000"/>
        <w:left w:val="single" w:sz="4" w:space="4" w:color="000000"/>
        <w:bottom w:val="single" w:sz="4" w:space="1" w:color="000000"/>
        <w:right w:val="single" w:sz="4" w:space="4" w:color="000000"/>
      </w:pBdr>
      <w:jc w:val="center"/>
      <w:outlineLvl w:val="8"/>
    </w:pPr>
    <w:rPr>
      <w:rFonts w:ascii="Arial Narrow" w:hAnsi="Arial Narrow"/>
      <w:b/>
      <w:color w:val="0000FF"/>
      <w:sz w:val="28"/>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link w:val="Nagwek1"/>
    <w:qFormat/>
    <w:rsid w:val="007a3f30"/>
    <w:rPr>
      <w:rFonts w:ascii="Arial Narrow" w:hAnsi="Arial Narrow" w:eastAsia="Times New Roman" w:cs="Times New Roman"/>
      <w:b/>
      <w:sz w:val="32"/>
      <w:szCs w:val="20"/>
      <w:lang w:eastAsia="pl-PL"/>
    </w:rPr>
  </w:style>
  <w:style w:type="character" w:styleId="Nagwek2Znak" w:customStyle="1">
    <w:name w:val="Nagłówek 2 Znak"/>
    <w:basedOn w:val="DefaultParagraphFont"/>
    <w:link w:val="Nagwek2"/>
    <w:semiHidden/>
    <w:qFormat/>
    <w:rsid w:val="007a3f30"/>
    <w:rPr>
      <w:rFonts w:ascii="Arial Narrow" w:hAnsi="Arial Narrow" w:eastAsia="Times New Roman" w:cs="Times New Roman"/>
      <w:b/>
      <w:sz w:val="24"/>
      <w:szCs w:val="20"/>
      <w:lang w:eastAsia="pl-PL"/>
    </w:rPr>
  </w:style>
  <w:style w:type="character" w:styleId="Nagwek3Znak" w:customStyle="1">
    <w:name w:val="Nagłówek 3 Znak"/>
    <w:basedOn w:val="DefaultParagraphFont"/>
    <w:link w:val="Nagwek3"/>
    <w:semiHidden/>
    <w:qFormat/>
    <w:rsid w:val="007a3f30"/>
    <w:rPr>
      <w:rFonts w:ascii="Arial Narrow" w:hAnsi="Arial Narrow" w:eastAsia="Times New Roman" w:cs="Times New Roman"/>
      <w:b/>
      <w:sz w:val="28"/>
      <w:szCs w:val="20"/>
      <w:lang w:eastAsia="pl-PL"/>
    </w:rPr>
  </w:style>
  <w:style w:type="character" w:styleId="Nagwek4Znak" w:customStyle="1">
    <w:name w:val="Nagłówek 4 Znak"/>
    <w:basedOn w:val="DefaultParagraphFont"/>
    <w:link w:val="Nagwek4"/>
    <w:qFormat/>
    <w:rsid w:val="007a3f30"/>
    <w:rPr>
      <w:rFonts w:ascii="Arial Narrow" w:hAnsi="Arial Narrow" w:eastAsia="Times New Roman" w:cs="Times New Roman"/>
      <w:sz w:val="24"/>
      <w:szCs w:val="20"/>
      <w:lang w:eastAsia="pl-PL"/>
    </w:rPr>
  </w:style>
  <w:style w:type="character" w:styleId="Nagwek5Znak" w:customStyle="1">
    <w:name w:val="Nagłówek 5 Znak"/>
    <w:basedOn w:val="DefaultParagraphFont"/>
    <w:link w:val="Nagwek5"/>
    <w:qFormat/>
    <w:rsid w:val="007a3f30"/>
    <w:rPr>
      <w:rFonts w:ascii="Arial Narrow" w:hAnsi="Arial Narrow" w:eastAsia="Times New Roman" w:cs="Times New Roman"/>
      <w:szCs w:val="20"/>
      <w:u w:val="single"/>
      <w:lang w:eastAsia="pl-PL"/>
    </w:rPr>
  </w:style>
  <w:style w:type="character" w:styleId="Nagwek6Znak" w:customStyle="1">
    <w:name w:val="Nagłówek 6 Znak"/>
    <w:basedOn w:val="DefaultParagraphFont"/>
    <w:link w:val="Nagwek6"/>
    <w:qFormat/>
    <w:rsid w:val="007a3f30"/>
    <w:rPr>
      <w:rFonts w:ascii="Arial Narrow" w:hAnsi="Arial Narrow" w:eastAsia="Times New Roman" w:cs="Times New Roman"/>
      <w:b/>
      <w:szCs w:val="20"/>
      <w:lang w:eastAsia="pl-PL"/>
    </w:rPr>
  </w:style>
  <w:style w:type="character" w:styleId="Nagwek7Znak" w:customStyle="1">
    <w:name w:val="Nagłówek 7 Znak"/>
    <w:basedOn w:val="DefaultParagraphFont"/>
    <w:link w:val="Nagwek7"/>
    <w:semiHidden/>
    <w:qFormat/>
    <w:rsid w:val="007a3f30"/>
    <w:rPr>
      <w:rFonts w:ascii="Arial Narrow" w:hAnsi="Arial Narrow" w:eastAsia="Times New Roman" w:cs="Times New Roman"/>
      <w:b/>
      <w:sz w:val="28"/>
      <w:szCs w:val="20"/>
      <w:lang w:eastAsia="pl-PL"/>
    </w:rPr>
  </w:style>
  <w:style w:type="character" w:styleId="Nagwek8Znak" w:customStyle="1">
    <w:name w:val="Nagłówek 8 Znak"/>
    <w:basedOn w:val="DefaultParagraphFont"/>
    <w:link w:val="Nagwek8"/>
    <w:semiHidden/>
    <w:qFormat/>
    <w:rsid w:val="007a3f30"/>
    <w:rPr>
      <w:rFonts w:ascii="Arial Narrow" w:hAnsi="Arial Narrow" w:eastAsia="Times New Roman" w:cs="Times New Roman"/>
      <w:b/>
      <w:szCs w:val="20"/>
      <w:lang w:eastAsia="pl-PL"/>
    </w:rPr>
  </w:style>
  <w:style w:type="character" w:styleId="Nagwek9Znak" w:customStyle="1">
    <w:name w:val="Nagłówek 9 Znak"/>
    <w:basedOn w:val="DefaultParagraphFont"/>
    <w:link w:val="Nagwek9"/>
    <w:semiHidden/>
    <w:qFormat/>
    <w:rsid w:val="007a3f30"/>
    <w:rPr>
      <w:rFonts w:ascii="Arial Narrow" w:hAnsi="Arial Narrow" w:eastAsia="Times New Roman" w:cs="Times New Roman"/>
      <w:b/>
      <w:color w:val="0000FF"/>
      <w:sz w:val="28"/>
      <w:szCs w:val="20"/>
      <w:lang w:eastAsia="pl-PL"/>
    </w:rPr>
  </w:style>
  <w:style w:type="character" w:styleId="TekstkomentarzaZnak" w:customStyle="1">
    <w:name w:val="Tekst komentarza Znak"/>
    <w:basedOn w:val="DefaultParagraphFont"/>
    <w:link w:val="Tekstkomentarza"/>
    <w:semiHidden/>
    <w:qFormat/>
    <w:rsid w:val="007a3f30"/>
    <w:rPr>
      <w:rFonts w:ascii="Times New Roman" w:hAnsi="Times New Roman" w:eastAsia="Times New Roman" w:cs="Times New Roman"/>
      <w:sz w:val="20"/>
      <w:szCs w:val="20"/>
      <w:lang w:eastAsia="pl-PL"/>
    </w:rPr>
  </w:style>
  <w:style w:type="character" w:styleId="NagwekZnak" w:customStyle="1">
    <w:name w:val="Nagłówek Znak"/>
    <w:basedOn w:val="DefaultParagraphFont"/>
    <w:link w:val="Nagwek"/>
    <w:qFormat/>
    <w:rsid w:val="007a3f30"/>
    <w:rPr>
      <w:rFonts w:ascii="Times New Roman" w:hAnsi="Times New Roman" w:eastAsia="Times New Roman" w:cs="Times New Roman"/>
      <w:sz w:val="20"/>
      <w:szCs w:val="20"/>
      <w:lang w:eastAsia="pl-PL"/>
    </w:rPr>
  </w:style>
  <w:style w:type="character" w:styleId="StopkaZnak" w:customStyle="1">
    <w:name w:val="Stopka Znak"/>
    <w:basedOn w:val="DefaultParagraphFont"/>
    <w:link w:val="Stopka"/>
    <w:uiPriority w:val="99"/>
    <w:qFormat/>
    <w:rsid w:val="007a3f30"/>
    <w:rPr>
      <w:rFonts w:ascii="Times New Roman" w:hAnsi="Times New Roman" w:eastAsia="Times New Roman" w:cs="Times New Roman"/>
      <w:sz w:val="20"/>
      <w:szCs w:val="20"/>
      <w:lang w:eastAsia="pl-PL"/>
    </w:rPr>
  </w:style>
  <w:style w:type="character" w:styleId="TekstpodstawowyZnak" w:customStyle="1">
    <w:name w:val="Tekst podstawowy Znak"/>
    <w:basedOn w:val="DefaultParagraphFont"/>
    <w:link w:val="Tekstpodstawowy"/>
    <w:qFormat/>
    <w:rsid w:val="007a3f30"/>
    <w:rPr>
      <w:rFonts w:ascii="Arial Narrow" w:hAnsi="Arial Narrow" w:eastAsia="Times New Roman" w:cs="Times New Roman"/>
      <w:szCs w:val="20"/>
      <w:lang w:eastAsia="pl-PL"/>
    </w:rPr>
  </w:style>
  <w:style w:type="character" w:styleId="TekstpodstawowywcityZnak" w:customStyle="1">
    <w:name w:val="Tekst podstawowy wcięty Znak"/>
    <w:basedOn w:val="DefaultParagraphFont"/>
    <w:link w:val="Tekstpodstawowywcity"/>
    <w:semiHidden/>
    <w:qFormat/>
    <w:rsid w:val="007a3f30"/>
    <w:rPr>
      <w:rFonts w:ascii="Times New Roman" w:hAnsi="Times New Roman" w:eastAsia="Times New Roman" w:cs="Times New Roman"/>
      <w:sz w:val="24"/>
      <w:szCs w:val="20"/>
      <w:lang w:eastAsia="pl-PL"/>
    </w:rPr>
  </w:style>
  <w:style w:type="character" w:styleId="Tekstpodstawowy2Znak" w:customStyle="1">
    <w:name w:val="Tekst podstawowy 2 Znak"/>
    <w:basedOn w:val="DefaultParagraphFont"/>
    <w:link w:val="Tekstpodstawowy2"/>
    <w:qFormat/>
    <w:rsid w:val="007a3f30"/>
    <w:rPr>
      <w:rFonts w:ascii="Arial Narrow" w:hAnsi="Arial Narrow" w:eastAsia="Times New Roman" w:cs="Times New Roman"/>
      <w:b/>
      <w:sz w:val="28"/>
      <w:szCs w:val="20"/>
      <w:lang w:eastAsia="pl-PL"/>
    </w:rPr>
  </w:style>
  <w:style w:type="character" w:styleId="Tekstpodstawowy3Znak" w:customStyle="1">
    <w:name w:val="Tekst podstawowy 3 Znak"/>
    <w:basedOn w:val="DefaultParagraphFont"/>
    <w:link w:val="Tekstpodstawowy3"/>
    <w:semiHidden/>
    <w:qFormat/>
    <w:rsid w:val="007a3f30"/>
    <w:rPr>
      <w:rFonts w:ascii="Arial Narrow" w:hAnsi="Arial Narrow" w:eastAsia="Times New Roman" w:cs="Times New Roman"/>
      <w:b/>
      <w:szCs w:val="20"/>
      <w:lang w:eastAsia="pl-PL"/>
    </w:rPr>
  </w:style>
  <w:style w:type="character" w:styleId="Tekstpodstawowywcity3Znak" w:customStyle="1">
    <w:name w:val="Tekst podstawowy wcięty 3 Znak"/>
    <w:basedOn w:val="DefaultParagraphFont"/>
    <w:link w:val="Tekstpodstawowywcity3"/>
    <w:uiPriority w:val="99"/>
    <w:semiHidden/>
    <w:qFormat/>
    <w:rsid w:val="007a3f30"/>
    <w:rPr>
      <w:rFonts w:ascii="Times New Roman" w:hAnsi="Times New Roman" w:eastAsia="Times New Roman" w:cs="Times New Roman"/>
      <w:sz w:val="16"/>
      <w:szCs w:val="16"/>
      <w:lang w:eastAsia="pl-PL"/>
    </w:rPr>
  </w:style>
  <w:style w:type="character" w:styleId="Applestylespan" w:customStyle="1">
    <w:name w:val="apple-style-span"/>
    <w:basedOn w:val="DefaultParagraphFont"/>
    <w:qFormat/>
    <w:rsid w:val="007a3f30"/>
    <w:rPr/>
  </w:style>
  <w:style w:type="character" w:styleId="TekstdymkaZnak" w:customStyle="1">
    <w:name w:val="Tekst dymka Znak"/>
    <w:basedOn w:val="DefaultParagraphFont"/>
    <w:link w:val="Tekstdymka"/>
    <w:uiPriority w:val="99"/>
    <w:semiHidden/>
    <w:qFormat/>
    <w:rsid w:val="007a3f30"/>
    <w:rPr>
      <w:rFonts w:ascii="Tahoma" w:hAnsi="Tahoma" w:eastAsia="Times New Roman" w:cs="Tahoma"/>
      <w:sz w:val="16"/>
      <w:szCs w:val="16"/>
      <w:lang w:eastAsia="pl-PL"/>
    </w:rPr>
  </w:style>
  <w:style w:type="character" w:styleId="Arialnarow" w:customStyle="1">
    <w:name w:val="arial narow"/>
    <w:qFormat/>
    <w:rsid w:val="0053557b"/>
    <w:rPr>
      <w:rFonts w:ascii="Arial Narrow" w:hAnsi="Arial Narrow"/>
      <w:sz w:val="22"/>
    </w:rPr>
  </w:style>
  <w:style w:type="character" w:styleId="Annotationreference">
    <w:name w:val="annotation reference"/>
    <w:basedOn w:val="DefaultParagraphFont"/>
    <w:semiHidden/>
    <w:unhideWhenUsed/>
    <w:qFormat/>
    <w:rsid w:val="006d2d86"/>
    <w:rPr>
      <w:sz w:val="16"/>
      <w:szCs w:val="16"/>
    </w:rPr>
  </w:style>
  <w:style w:type="character" w:styleId="TematkomentarzaZnak" w:customStyle="1">
    <w:name w:val="Temat komentarza Znak"/>
    <w:basedOn w:val="TekstkomentarzaZnak"/>
    <w:link w:val="Tematkomentarza"/>
    <w:uiPriority w:val="99"/>
    <w:semiHidden/>
    <w:qFormat/>
    <w:rsid w:val="006d2d86"/>
    <w:rPr>
      <w:rFonts w:ascii="Times New Roman" w:hAnsi="Times New Roman" w:eastAsia="Times New Roman" w:cs="Times New Roman"/>
      <w:b/>
      <w:bCs/>
      <w:sz w:val="20"/>
      <w:szCs w:val="20"/>
      <w:lang w:eastAsia="pl-PL"/>
    </w:rPr>
  </w:style>
  <w:style w:type="character" w:styleId="TekstprzypisudolnegoZnak" w:customStyle="1">
    <w:name w:val="Tekst przypisu dolnego Znak"/>
    <w:basedOn w:val="DefaultParagraphFont"/>
    <w:link w:val="Tekstprzypisudolnego"/>
    <w:semiHidden/>
    <w:qFormat/>
    <w:rsid w:val="00ef6064"/>
    <w:rPr>
      <w:rFonts w:ascii="Times New Roman" w:hAnsi="Times New Roman" w:eastAsia="Times New Roman" w:cs="Times New Roman"/>
      <w:sz w:val="20"/>
      <w:szCs w:val="20"/>
      <w:lang w:eastAsia="pl-PL"/>
    </w:rPr>
  </w:style>
  <w:style w:type="character" w:styleId="TekstprzypisukocowegoZnak" w:customStyle="1">
    <w:name w:val="Tekst przypisu końcowego Znak"/>
    <w:basedOn w:val="DefaultParagraphFont"/>
    <w:link w:val="Tekstprzypisukocowego"/>
    <w:uiPriority w:val="99"/>
    <w:semiHidden/>
    <w:qFormat/>
    <w:rsid w:val="00f6296b"/>
    <w:rPr>
      <w:rFonts w:ascii="Times New Roman" w:hAnsi="Times New Roman" w:eastAsia="Times New Roman" w:cs="Times New Roman"/>
      <w:sz w:val="20"/>
      <w:szCs w:val="20"/>
      <w:lang w:eastAsia="pl-PL"/>
    </w:rPr>
  </w:style>
  <w:style w:type="character" w:styleId="Zakotwiczenieprzypisukocowego">
    <w:name w:val="Zakotwiczenie przypisu końcowego"/>
    <w:rPr>
      <w:vertAlign w:val="superscript"/>
    </w:rPr>
  </w:style>
  <w:style w:type="character" w:styleId="EndnoteCharacters">
    <w:name w:val="Endnote Characters"/>
    <w:basedOn w:val="DefaultParagraphFont"/>
    <w:uiPriority w:val="99"/>
    <w:semiHidden/>
    <w:unhideWhenUsed/>
    <w:qFormat/>
    <w:rsid w:val="00f6296b"/>
    <w:rPr>
      <w:vertAlign w:val="superscript"/>
    </w:rPr>
  </w:style>
  <w:style w:type="character" w:styleId="Appleconvertedspace" w:customStyle="1">
    <w:name w:val="apple-converted-space"/>
    <w:basedOn w:val="DefaultParagraphFont"/>
    <w:qFormat/>
    <w:rsid w:val="00ca3de8"/>
    <w:rPr/>
  </w:style>
  <w:style w:type="character" w:styleId="Czeinternetowe">
    <w:name w:val="Łącze internetowe"/>
    <w:basedOn w:val="DefaultParagraphFont"/>
    <w:uiPriority w:val="99"/>
    <w:unhideWhenUsed/>
    <w:rsid w:val="007c29f5"/>
    <w:rPr>
      <w:color w:val="0000FF" w:themeColor="hyperlink"/>
      <w:u w:val="single"/>
    </w:rPr>
  </w:style>
  <w:style w:type="character" w:styleId="Nierozpoznanawzmianka1" w:customStyle="1">
    <w:name w:val="Nierozpoznana wzmianka1"/>
    <w:basedOn w:val="DefaultParagraphFont"/>
    <w:uiPriority w:val="99"/>
    <w:semiHidden/>
    <w:unhideWhenUsed/>
    <w:qFormat/>
    <w:rsid w:val="007c29f5"/>
    <w:rPr>
      <w:color w:val="605E5C"/>
      <w:shd w:fill="E1DFDD" w:val="clear"/>
    </w:rPr>
  </w:style>
  <w:style w:type="character" w:styleId="Markedcontent" w:customStyle="1">
    <w:name w:val="markedcontent"/>
    <w:basedOn w:val="DefaultParagraphFont"/>
    <w:qFormat/>
    <w:rsid w:val="008a603f"/>
    <w:rPr/>
  </w:style>
  <w:style w:type="character" w:styleId="UnresolvedMention">
    <w:name w:val="Unresolved Mention"/>
    <w:basedOn w:val="DefaultParagraphFont"/>
    <w:uiPriority w:val="99"/>
    <w:semiHidden/>
    <w:unhideWhenUsed/>
    <w:qFormat/>
    <w:rsid w:val="0073308d"/>
    <w:rPr>
      <w:color w:val="605E5C"/>
      <w:shd w:fill="E1DFDD" w:val="clear"/>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link w:val="TekstpodstawowyZnak"/>
    <w:unhideWhenUsed/>
    <w:rsid w:val="007a3f30"/>
    <w:pPr>
      <w:spacing w:lineRule="auto" w:line="360"/>
      <w:jc w:val="both"/>
    </w:pPr>
    <w:rPr>
      <w:rFonts w:ascii="Arial Narrow" w:hAnsi="Arial Narrow"/>
      <w:sz w:val="22"/>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Annotationtext">
    <w:name w:val="annotation text"/>
    <w:basedOn w:val="Normal"/>
    <w:link w:val="TekstkomentarzaZnak"/>
    <w:semiHidden/>
    <w:unhideWhenUsed/>
    <w:qFormat/>
    <w:rsid w:val="007a3f30"/>
    <w:pPr/>
    <w:rPr/>
  </w:style>
  <w:style w:type="paragraph" w:styleId="Gwkaistopka">
    <w:name w:val="Główka i stopka"/>
    <w:basedOn w:val="Normal"/>
    <w:qFormat/>
    <w:pPr/>
    <w:rPr/>
  </w:style>
  <w:style w:type="paragraph" w:styleId="Gwka">
    <w:name w:val="Header"/>
    <w:basedOn w:val="Normal"/>
    <w:link w:val="NagwekZnak"/>
    <w:unhideWhenUsed/>
    <w:rsid w:val="007a3f30"/>
    <w:pPr>
      <w:tabs>
        <w:tab w:val="clear" w:pos="708"/>
        <w:tab w:val="center" w:pos="4536" w:leader="none"/>
        <w:tab w:val="right" w:pos="9072" w:leader="none"/>
      </w:tabs>
    </w:pPr>
    <w:rPr/>
  </w:style>
  <w:style w:type="paragraph" w:styleId="Stopka">
    <w:name w:val="Footer"/>
    <w:basedOn w:val="Normal"/>
    <w:link w:val="StopkaZnak"/>
    <w:uiPriority w:val="99"/>
    <w:unhideWhenUsed/>
    <w:rsid w:val="007a3f30"/>
    <w:pPr>
      <w:tabs>
        <w:tab w:val="clear" w:pos="708"/>
        <w:tab w:val="center" w:pos="4536" w:leader="none"/>
        <w:tab w:val="right" w:pos="9072" w:leader="none"/>
      </w:tabs>
    </w:pPr>
    <w:rPr/>
  </w:style>
  <w:style w:type="paragraph" w:styleId="ListBullet3">
    <w:name w:val="List Bullet 3"/>
    <w:basedOn w:val="Normal"/>
    <w:autoRedefine/>
    <w:semiHidden/>
    <w:unhideWhenUsed/>
    <w:qFormat/>
    <w:rsid w:val="007a3f30"/>
    <w:pPr>
      <w:numPr>
        <w:ilvl w:val="0"/>
        <w:numId w:val="1"/>
      </w:numPr>
    </w:pPr>
    <w:rPr>
      <w:rFonts w:ascii="Arial Narrow" w:hAnsi="Arial Narrow"/>
      <w:b/>
      <w:bCs/>
      <w:sz w:val="22"/>
      <w:szCs w:val="24"/>
    </w:rPr>
  </w:style>
  <w:style w:type="paragraph" w:styleId="Wcicietrecitekstu">
    <w:name w:val="Body Text Indent"/>
    <w:basedOn w:val="Normal"/>
    <w:link w:val="TekstpodstawowywcityZnak"/>
    <w:semiHidden/>
    <w:unhideWhenUsed/>
    <w:rsid w:val="007a3f30"/>
    <w:pPr>
      <w:ind w:left="60" w:hanging="0"/>
    </w:pPr>
    <w:rPr>
      <w:sz w:val="24"/>
    </w:rPr>
  </w:style>
  <w:style w:type="paragraph" w:styleId="BodyText2">
    <w:name w:val="Body Text 2"/>
    <w:basedOn w:val="Normal"/>
    <w:link w:val="Tekstpodstawowy2Znak"/>
    <w:unhideWhenUsed/>
    <w:qFormat/>
    <w:rsid w:val="007a3f30"/>
    <w:pPr>
      <w:spacing w:lineRule="auto" w:line="360"/>
      <w:jc w:val="right"/>
    </w:pPr>
    <w:rPr>
      <w:rFonts w:ascii="Arial Narrow" w:hAnsi="Arial Narrow"/>
      <w:b/>
      <w:sz w:val="28"/>
    </w:rPr>
  </w:style>
  <w:style w:type="paragraph" w:styleId="BodyText3">
    <w:name w:val="Body Text 3"/>
    <w:basedOn w:val="Normal"/>
    <w:link w:val="Tekstpodstawowy3Znak"/>
    <w:semiHidden/>
    <w:unhideWhenUsed/>
    <w:qFormat/>
    <w:rsid w:val="007a3f30"/>
    <w:pPr>
      <w:spacing w:lineRule="auto" w:line="360"/>
      <w:jc w:val="both"/>
    </w:pPr>
    <w:rPr>
      <w:rFonts w:ascii="Arial Narrow" w:hAnsi="Arial Narrow"/>
      <w:b/>
      <w:sz w:val="22"/>
    </w:rPr>
  </w:style>
  <w:style w:type="paragraph" w:styleId="BodyTextIndent3">
    <w:name w:val="Body Text Indent 3"/>
    <w:basedOn w:val="Normal"/>
    <w:link w:val="Tekstpodstawowywcity3Znak"/>
    <w:uiPriority w:val="99"/>
    <w:semiHidden/>
    <w:unhideWhenUsed/>
    <w:qFormat/>
    <w:rsid w:val="007a3f30"/>
    <w:pPr>
      <w:spacing w:before="0" w:after="120"/>
      <w:ind w:left="283" w:hanging="0"/>
    </w:pPr>
    <w:rPr>
      <w:sz w:val="16"/>
      <w:szCs w:val="16"/>
    </w:rPr>
  </w:style>
  <w:style w:type="paragraph" w:styleId="BalloonText">
    <w:name w:val="Balloon Text"/>
    <w:basedOn w:val="Normal"/>
    <w:link w:val="TekstdymkaZnak"/>
    <w:uiPriority w:val="99"/>
    <w:semiHidden/>
    <w:unhideWhenUsed/>
    <w:qFormat/>
    <w:rsid w:val="007a3f30"/>
    <w:pPr/>
    <w:rPr>
      <w:rFonts w:ascii="Tahoma" w:hAnsi="Tahoma" w:cs="Tahoma"/>
      <w:sz w:val="16"/>
      <w:szCs w:val="16"/>
    </w:rPr>
  </w:style>
  <w:style w:type="paragraph" w:styleId="ListParagraph">
    <w:name w:val="List Paragraph"/>
    <w:basedOn w:val="Normal"/>
    <w:uiPriority w:val="34"/>
    <w:qFormat/>
    <w:rsid w:val="001476a4"/>
    <w:pPr>
      <w:spacing w:before="0" w:after="0"/>
      <w:ind w:left="720" w:hanging="0"/>
      <w:contextualSpacing/>
    </w:pPr>
    <w:rPr/>
  </w:style>
  <w:style w:type="paragraph" w:styleId="Annotationsubject">
    <w:name w:val="annotation subject"/>
    <w:basedOn w:val="Annotationtext"/>
    <w:next w:val="Annotationtext"/>
    <w:link w:val="TematkomentarzaZnak"/>
    <w:uiPriority w:val="99"/>
    <w:semiHidden/>
    <w:unhideWhenUsed/>
    <w:qFormat/>
    <w:rsid w:val="006d2d86"/>
    <w:pPr/>
    <w:rPr>
      <w:b/>
      <w:bCs/>
    </w:rPr>
  </w:style>
  <w:style w:type="paragraph" w:styleId="ListContinue3">
    <w:name w:val="List Continue 3"/>
    <w:basedOn w:val="Normal"/>
    <w:semiHidden/>
    <w:qFormat/>
    <w:rsid w:val="00ef6064"/>
    <w:pPr>
      <w:spacing w:before="0" w:after="120"/>
      <w:ind w:left="849" w:hanging="0"/>
    </w:pPr>
    <w:rPr>
      <w:sz w:val="24"/>
      <w:szCs w:val="24"/>
    </w:rPr>
  </w:style>
  <w:style w:type="paragraph" w:styleId="Przypisdolny">
    <w:name w:val="Footnote Text"/>
    <w:basedOn w:val="Normal"/>
    <w:link w:val="TekstprzypisudolnegoZnak"/>
    <w:semiHidden/>
    <w:rsid w:val="00ef6064"/>
    <w:pPr/>
    <w:rPr/>
  </w:style>
  <w:style w:type="paragraph" w:styleId="Przypiskocowy">
    <w:name w:val="Endnote Text"/>
    <w:basedOn w:val="Normal"/>
    <w:link w:val="TekstprzypisukocowegoZnak"/>
    <w:uiPriority w:val="99"/>
    <w:semiHidden/>
    <w:unhideWhenUsed/>
    <w:rsid w:val="00f6296b"/>
    <w:pPr/>
    <w:rPr/>
  </w:style>
  <w:style w:type="paragraph" w:styleId="ListBullet2">
    <w:name w:val="List Bullet 2"/>
    <w:basedOn w:val="Normal"/>
    <w:autoRedefine/>
    <w:semiHidden/>
    <w:qFormat/>
    <w:rsid w:val="00ca3de8"/>
    <w:pPr>
      <w:numPr>
        <w:ilvl w:val="0"/>
        <w:numId w:val="9"/>
      </w:numPr>
    </w:pPr>
    <w:rPr>
      <w:sz w:val="24"/>
      <w:szCs w:val="24"/>
    </w:rPr>
  </w:style>
  <w:style w:type="paragraph" w:styleId="NormalWeb">
    <w:name w:val="Normal (Web)"/>
    <w:basedOn w:val="Normal"/>
    <w:semiHidden/>
    <w:qFormat/>
    <w:rsid w:val="00ca3de8"/>
    <w:pPr>
      <w:spacing w:beforeAutospacing="1" w:afterAutospacing="1"/>
    </w:pPr>
    <w:rPr>
      <w:rFonts w:ascii="Arial Unicode MS" w:hAnsi="Arial Unicode MS" w:eastAsia="Arial Unicode MS" w:cs="Arial Unicode MS"/>
      <w:sz w:val="24"/>
      <w:szCs w:val="24"/>
    </w:rPr>
  </w:style>
  <w:style w:type="paragraph" w:styleId="Dt" w:customStyle="1">
    <w:name w:val="dt"/>
    <w:basedOn w:val="Normal"/>
    <w:qFormat/>
    <w:rsid w:val="00821aae"/>
    <w:pPr>
      <w:spacing w:beforeAutospacing="1" w:afterAutospacing="1"/>
    </w:pPr>
    <w:rPr>
      <w:sz w:val="24"/>
      <w:szCs w:val="24"/>
    </w:rPr>
  </w:style>
  <w:style w:type="paragraph" w:styleId="Dd" w:customStyle="1">
    <w:name w:val="dd"/>
    <w:basedOn w:val="Normal"/>
    <w:qFormat/>
    <w:rsid w:val="00821aae"/>
    <w:pPr>
      <w:spacing w:beforeAutospacing="1" w:afterAutospacing="1"/>
    </w:pPr>
    <w:rPr>
      <w:sz w:val="24"/>
      <w:szCs w:val="24"/>
    </w:rPr>
  </w:style>
  <w:style w:type="paragraph" w:styleId="Dpt" w:customStyle="1">
    <w:name w:val="dpt"/>
    <w:basedOn w:val="Normal"/>
    <w:qFormat/>
    <w:rsid w:val="00821aae"/>
    <w:pPr>
      <w:spacing w:beforeAutospacing="1" w:afterAutospacing="1"/>
    </w:pPr>
    <w:rPr>
      <w:sz w:val="24"/>
      <w:szCs w:val="24"/>
    </w:rPr>
  </w:style>
  <w:style w:type="paragraph" w:styleId="Dmo" w:customStyle="1">
    <w:name w:val="dmo"/>
    <w:basedOn w:val="Normal"/>
    <w:qFormat/>
    <w:rsid w:val="00821aae"/>
    <w:pPr>
      <w:spacing w:beforeAutospacing="1" w:afterAutospacing="1"/>
    </w:pPr>
    <w:rPr>
      <w:sz w:val="24"/>
      <w:szCs w:val="24"/>
    </w:rPr>
  </w:style>
  <w:style w:type="paragraph" w:styleId="BlockText">
    <w:name w:val="Block Text"/>
    <w:basedOn w:val="Normal"/>
    <w:qFormat/>
    <w:rsid w:val="003974c7"/>
    <w:pPr>
      <w:ind w:left="567" w:right="282" w:hanging="0"/>
    </w:pPr>
    <w:rPr>
      <w:sz w:val="22"/>
    </w:rPr>
  </w:style>
  <w:style w:type="paragraph" w:styleId="Standard" w:customStyle="1">
    <w:name w:val="Standard"/>
    <w:qFormat/>
    <w:rsid w:val="004d6828"/>
    <w:pPr>
      <w:widowControl/>
      <w:suppressAutoHyphens w:val="true"/>
      <w:bidi w:val="0"/>
      <w:spacing w:lineRule="auto" w:line="240" w:before="0" w:after="0"/>
      <w:jc w:val="left"/>
      <w:textAlignment w:val="baseline"/>
    </w:pPr>
    <w:rPr>
      <w:rFonts w:ascii="Liberation Serif" w:hAnsi="Liberation Serif" w:eastAsia="SimSun" w:cs="Mangal"/>
      <w:color w:val="auto"/>
      <w:kern w:val="2"/>
      <w:sz w:val="24"/>
      <w:szCs w:val="24"/>
      <w:lang w:eastAsia="zh-CN" w:bidi="hi-IN" w:val="pl-PL"/>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https://grodziski.e-mapa.net/" TargetMode="External"/><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chart" Target="charts/chart1.xml"/><Relationship Id="rId17" Type="http://schemas.openxmlformats.org/officeDocument/2006/relationships/image" Target="media/image14.png"/><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US" sz="1400" spc="-1" strike="noStrike">
                <a:solidFill>
                  <a:srgbClr val="595959"/>
                </a:solidFill>
                <a:latin typeface="Calibri"/>
              </a:defRPr>
            </a:pPr>
            <a:r>
              <a:rPr b="0" lang="en-US" sz="1400" spc="-1" strike="noStrike">
                <a:solidFill>
                  <a:srgbClr val="595959"/>
                </a:solidFill>
                <a:latin typeface="Calibri"/>
              </a:rPr>
              <a:t>ceny jednostkowe działęk budowlanych 
o powierzchniach do 1500mkw</a:t>
            </a:r>
          </a:p>
        </c:rich>
      </c:tx>
      <c:overlay val="0"/>
      <c:spPr>
        <a:noFill/>
        <a:ln w="0">
          <a:noFill/>
        </a:ln>
      </c:spPr>
    </c:title>
    <c:autoTitleDeleted val="0"/>
    <c:plotArea>
      <c:scatterChart>
        <c:scatterStyle val="lineMarker"/>
        <c:varyColors val="0"/>
        <c:ser>
          <c:idx val="0"/>
          <c:order val="0"/>
          <c:tx>
            <c:strRef>
              <c:f>label 1</c:f>
              <c:strCache>
                <c:ptCount val="1"/>
                <c:pt idx="0">
                  <c:v>Seria2</c:v>
                </c:pt>
              </c:strCache>
            </c:strRef>
          </c:tx>
          <c:spPr>
            <a:solidFill>
              <a:srgbClr val="4f81bd"/>
            </a:solidFill>
            <a:ln w="19080">
              <a:noFill/>
            </a:ln>
          </c:spPr>
          <c:marker>
            <c:symbol val="circle"/>
            <c:size val="5"/>
            <c:spPr>
              <a:solidFill>
                <a:srgbClr val="4f81bd"/>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xVal>
            <c:numRef>
              <c:f>1</c:f>
              <c:numCache>
                <c:formatCode>General</c:formatCode>
                <c:ptCount val="47"/>
                <c:pt idx="0">
                  <c:v>44725</c:v>
                </c:pt>
                <c:pt idx="1">
                  <c:v>44725</c:v>
                </c:pt>
                <c:pt idx="2">
                  <c:v>44825</c:v>
                </c:pt>
                <c:pt idx="3">
                  <c:v>44642</c:v>
                </c:pt>
                <c:pt idx="4">
                  <c:v>44638</c:v>
                </c:pt>
                <c:pt idx="5">
                  <c:v>44637</c:v>
                </c:pt>
                <c:pt idx="6">
                  <c:v>44588</c:v>
                </c:pt>
                <c:pt idx="7">
                  <c:v>44572</c:v>
                </c:pt>
                <c:pt idx="8">
                  <c:v>44541</c:v>
                </c:pt>
                <c:pt idx="9">
                  <c:v>44537</c:v>
                </c:pt>
                <c:pt idx="10">
                  <c:v>44543</c:v>
                </c:pt>
                <c:pt idx="11">
                  <c:v>44547</c:v>
                </c:pt>
                <c:pt idx="12">
                  <c:v>44537</c:v>
                </c:pt>
                <c:pt idx="13">
                  <c:v>44557</c:v>
                </c:pt>
                <c:pt idx="14">
                  <c:v>44518</c:v>
                </c:pt>
                <c:pt idx="15">
                  <c:v>44481</c:v>
                </c:pt>
                <c:pt idx="16">
                  <c:v>44474</c:v>
                </c:pt>
                <c:pt idx="17">
                  <c:v>44634</c:v>
                </c:pt>
                <c:pt idx="18">
                  <c:v>44510</c:v>
                </c:pt>
                <c:pt idx="19">
                  <c:v>44550</c:v>
                </c:pt>
                <c:pt idx="20">
                  <c:v>44818</c:v>
                </c:pt>
                <c:pt idx="21">
                  <c:v>44805</c:v>
                </c:pt>
                <c:pt idx="22">
                  <c:v>44804</c:v>
                </c:pt>
                <c:pt idx="23">
                  <c:v>44803</c:v>
                </c:pt>
                <c:pt idx="24">
                  <c:v>44795</c:v>
                </c:pt>
                <c:pt idx="25">
                  <c:v>44790</c:v>
                </c:pt>
                <c:pt idx="26">
                  <c:v>44784</c:v>
                </c:pt>
                <c:pt idx="27">
                  <c:v>44782</c:v>
                </c:pt>
                <c:pt idx="28">
                  <c:v>44781</c:v>
                </c:pt>
                <c:pt idx="29">
                  <c:v>44776</c:v>
                </c:pt>
                <c:pt idx="30">
                  <c:v>44770</c:v>
                </c:pt>
                <c:pt idx="31">
                  <c:v>44767</c:v>
                </c:pt>
                <c:pt idx="32">
                  <c:v>44761</c:v>
                </c:pt>
                <c:pt idx="33">
                  <c:v>44739</c:v>
                </c:pt>
                <c:pt idx="34">
                  <c:v>44742</c:v>
                </c:pt>
                <c:pt idx="35">
                  <c:v>44631</c:v>
                </c:pt>
                <c:pt idx="36">
                  <c:v>44617</c:v>
                </c:pt>
                <c:pt idx="37">
                  <c:v>44616</c:v>
                </c:pt>
                <c:pt idx="38">
                  <c:v>44588</c:v>
                </c:pt>
                <c:pt idx="39">
                  <c:v>44588</c:v>
                </c:pt>
                <c:pt idx="40">
                  <c:v>44539</c:v>
                </c:pt>
                <c:pt idx="41">
                  <c:v>44543</c:v>
                </c:pt>
                <c:pt idx="42">
                  <c:v>44558</c:v>
                </c:pt>
                <c:pt idx="43">
                  <c:v>44531</c:v>
                </c:pt>
                <c:pt idx="44">
                  <c:v>44503</c:v>
                </c:pt>
                <c:pt idx="45">
                  <c:v>44734</c:v>
                </c:pt>
                <c:pt idx="46">
                  <c:v>44718</c:v>
                </c:pt>
              </c:numCache>
            </c:numRef>
          </c:xVal>
          <c:yVal>
            <c:numRef>
              <c:f>0</c:f>
              <c:numCache>
                <c:formatCode>General</c:formatCode>
                <c:ptCount val="47"/>
                <c:pt idx="0">
                  <c:v>160</c:v>
                </c:pt>
                <c:pt idx="1">
                  <c:v>158</c:v>
                </c:pt>
                <c:pt idx="2">
                  <c:v>98</c:v>
                </c:pt>
                <c:pt idx="3">
                  <c:v>76</c:v>
                </c:pt>
                <c:pt idx="4">
                  <c:v>106</c:v>
                </c:pt>
                <c:pt idx="5">
                  <c:v>125</c:v>
                </c:pt>
                <c:pt idx="6">
                  <c:v>107</c:v>
                </c:pt>
                <c:pt idx="7">
                  <c:v>118</c:v>
                </c:pt>
                <c:pt idx="8">
                  <c:v>70</c:v>
                </c:pt>
                <c:pt idx="9">
                  <c:v>109</c:v>
                </c:pt>
                <c:pt idx="10">
                  <c:v>106</c:v>
                </c:pt>
                <c:pt idx="11">
                  <c:v>92</c:v>
                </c:pt>
                <c:pt idx="12">
                  <c:v>92</c:v>
                </c:pt>
                <c:pt idx="13">
                  <c:v>80</c:v>
                </c:pt>
                <c:pt idx="14">
                  <c:v>104</c:v>
                </c:pt>
                <c:pt idx="15">
                  <c:v>100</c:v>
                </c:pt>
                <c:pt idx="16">
                  <c:v>100</c:v>
                </c:pt>
                <c:pt idx="17">
                  <c:v>212</c:v>
                </c:pt>
                <c:pt idx="18">
                  <c:v>79</c:v>
                </c:pt>
                <c:pt idx="19">
                  <c:v>123</c:v>
                </c:pt>
                <c:pt idx="20">
                  <c:v>133</c:v>
                </c:pt>
                <c:pt idx="21">
                  <c:v>77</c:v>
                </c:pt>
                <c:pt idx="22">
                  <c:v>125</c:v>
                </c:pt>
                <c:pt idx="23">
                  <c:v>109</c:v>
                </c:pt>
                <c:pt idx="24">
                  <c:v>127</c:v>
                </c:pt>
                <c:pt idx="25">
                  <c:v>131</c:v>
                </c:pt>
                <c:pt idx="26">
                  <c:v>100</c:v>
                </c:pt>
                <c:pt idx="27">
                  <c:v>100</c:v>
                </c:pt>
                <c:pt idx="28">
                  <c:v>157</c:v>
                </c:pt>
                <c:pt idx="29">
                  <c:v>145</c:v>
                </c:pt>
                <c:pt idx="30">
                  <c:v>189</c:v>
                </c:pt>
                <c:pt idx="31">
                  <c:v>86</c:v>
                </c:pt>
                <c:pt idx="32">
                  <c:v>98</c:v>
                </c:pt>
                <c:pt idx="33">
                  <c:v>98</c:v>
                </c:pt>
                <c:pt idx="34">
                  <c:v>140</c:v>
                </c:pt>
                <c:pt idx="35">
                  <c:v>80</c:v>
                </c:pt>
                <c:pt idx="36">
                  <c:v>144</c:v>
                </c:pt>
                <c:pt idx="37">
                  <c:v>125</c:v>
                </c:pt>
                <c:pt idx="38">
                  <c:v>144</c:v>
                </c:pt>
                <c:pt idx="39">
                  <c:v>144</c:v>
                </c:pt>
                <c:pt idx="40">
                  <c:v>164</c:v>
                </c:pt>
                <c:pt idx="41">
                  <c:v>75</c:v>
                </c:pt>
                <c:pt idx="42">
                  <c:v>188</c:v>
                </c:pt>
                <c:pt idx="43">
                  <c:v>113</c:v>
                </c:pt>
                <c:pt idx="44">
                  <c:v>107</c:v>
                </c:pt>
                <c:pt idx="45">
                  <c:v>200</c:v>
                </c:pt>
                <c:pt idx="46">
                  <c:v>200</c:v>
                </c:pt>
              </c:numCache>
            </c:numRef>
          </c:yVal>
          <c:smooth val="0"/>
        </c:ser>
        <c:axId val="28166885"/>
        <c:axId val="21922017"/>
      </c:scatterChart>
      <c:valAx>
        <c:axId val="28166885"/>
        <c:scaling>
          <c:orientation val="minMax"/>
        </c:scaling>
        <c:delete val="0"/>
        <c:axPos val="b"/>
        <c:majorGridlines>
          <c:spPr>
            <a:ln w="9360">
              <a:solidFill>
                <a:srgbClr val="d9d9d9"/>
              </a:solidFill>
              <a:round/>
            </a:ln>
          </c:spPr>
        </c:majorGridlines>
        <c:numFmt formatCode="m/d/yyyy"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21922017"/>
        <c:crosses val="autoZero"/>
        <c:crossBetween val="midCat"/>
      </c:valAx>
      <c:valAx>
        <c:axId val="21922017"/>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28166885"/>
        <c:crosses val="autoZero"/>
        <c:crossBetween val="midCat"/>
      </c:valAx>
      <c:spPr>
        <a:noFill/>
        <a:ln w="0">
          <a:noFill/>
        </a:ln>
      </c:spPr>
    </c:plotArea>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16930-F346-419D-9484-9D2754B4C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Application>LibreOffice/7.1.0.3$Windows_x86 LibreOffice_project/f6099ecf3d29644b5008cc8f48f42f4a40986e4c</Application>
  <AppVersion>15.0000</AppVersion>
  <Pages>17</Pages>
  <Words>5444</Words>
  <Characters>35784</Characters>
  <CharactersWithSpaces>41088</CharactersWithSpaces>
  <Paragraphs>273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2022-12-19T18:28:00Z</dcterms:created>
  <dc:creator>dompolski7@gmail.com</dc:creator>
  <dc:description/>
  <dc:language>pl-PL</dc:language>
  <cp:lastModifiedBy>Barbara Mazur</cp:lastModifiedBy>
  <cp:lastPrinted>2022-12-20T10:25:00Z</cp:lastPrinted>
  <dcterms:modified xsi:type="dcterms:W3CDTF">2022-12-20T10:44:00Z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